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3420" w14:textId="22619A03" w:rsidR="00754FB5" w:rsidRPr="00596420" w:rsidRDefault="00754FB5" w:rsidP="00596420">
      <w:pPr>
        <w:rPr>
          <w:rFonts w:cs="Arial"/>
          <w:b/>
          <w:sz w:val="28"/>
          <w:szCs w:val="28"/>
        </w:rPr>
      </w:pPr>
      <w:r w:rsidRPr="00596420">
        <w:rPr>
          <w:rFonts w:cs="Arial"/>
          <w:b/>
          <w:sz w:val="28"/>
          <w:szCs w:val="28"/>
        </w:rPr>
        <w:t>Subj</w:t>
      </w:r>
      <w:r w:rsidR="003B46BC" w:rsidRPr="00596420">
        <w:rPr>
          <w:rFonts w:cs="Arial"/>
          <w:b/>
          <w:sz w:val="28"/>
          <w:szCs w:val="28"/>
        </w:rPr>
        <w:t xml:space="preserve">ect: </w:t>
      </w:r>
      <w:r w:rsidR="008A1DAF">
        <w:rPr>
          <w:rFonts w:cs="Arial"/>
          <w:b/>
          <w:w w:val="99"/>
          <w:sz w:val="28"/>
          <w:szCs w:val="28"/>
        </w:rPr>
        <w:t>TAA and Dislocated Worker Co-enrollment</w:t>
      </w:r>
    </w:p>
    <w:p w14:paraId="133E7DA7" w14:textId="77777777" w:rsidR="00DA0E35" w:rsidRDefault="00DA0E35" w:rsidP="00EA49D1">
      <w:pPr>
        <w:ind w:right="-20"/>
        <w:rPr>
          <w:rFonts w:cs="Arial"/>
          <w:b/>
          <w:sz w:val="28"/>
          <w:szCs w:val="28"/>
        </w:rPr>
      </w:pPr>
    </w:p>
    <w:p w14:paraId="4E9165B9" w14:textId="38E0359D" w:rsidR="00754FB5" w:rsidRPr="00506785" w:rsidRDefault="003B46BC" w:rsidP="00EA49D1">
      <w:pPr>
        <w:ind w:right="-20"/>
        <w:rPr>
          <w:rFonts w:cs="Arial"/>
          <w:sz w:val="28"/>
          <w:szCs w:val="28"/>
        </w:rPr>
      </w:pPr>
      <w:r>
        <w:rPr>
          <w:rFonts w:cs="Arial"/>
          <w:b/>
          <w:sz w:val="28"/>
          <w:szCs w:val="28"/>
        </w:rPr>
        <w:t xml:space="preserve">Policy No: </w:t>
      </w:r>
      <w:r w:rsidR="008A1DAF">
        <w:rPr>
          <w:rFonts w:cs="Arial"/>
          <w:b/>
          <w:sz w:val="28"/>
          <w:szCs w:val="28"/>
        </w:rPr>
        <w:t>2015-10</w:t>
      </w:r>
    </w:p>
    <w:p w14:paraId="6D90EF20" w14:textId="488A205F" w:rsidR="00371412" w:rsidRDefault="003B46BC" w:rsidP="00EA49D1">
      <w:pPr>
        <w:rPr>
          <w:rFonts w:cs="Arial"/>
          <w:b/>
          <w:sz w:val="28"/>
          <w:szCs w:val="28"/>
        </w:rPr>
      </w:pPr>
      <w:r>
        <w:rPr>
          <w:rFonts w:cs="Arial"/>
          <w:b/>
          <w:sz w:val="28"/>
          <w:szCs w:val="28"/>
        </w:rPr>
        <w:t>Effective Date:</w:t>
      </w:r>
      <w:r w:rsidR="0023432A">
        <w:rPr>
          <w:rFonts w:cs="Arial"/>
          <w:b/>
          <w:sz w:val="28"/>
          <w:szCs w:val="28"/>
        </w:rPr>
        <w:t xml:space="preserve"> </w:t>
      </w:r>
      <w:r w:rsidR="008A1DAF">
        <w:rPr>
          <w:rFonts w:cs="Arial"/>
          <w:b/>
          <w:sz w:val="28"/>
          <w:szCs w:val="28"/>
        </w:rPr>
        <w:t>2/22/</w:t>
      </w:r>
      <w:r w:rsidR="00877AE3">
        <w:rPr>
          <w:rFonts w:cs="Arial"/>
          <w:b/>
          <w:sz w:val="28"/>
          <w:szCs w:val="28"/>
        </w:rPr>
        <w:t>20</w:t>
      </w:r>
      <w:r w:rsidR="008A1DAF">
        <w:rPr>
          <w:rFonts w:cs="Arial"/>
          <w:b/>
          <w:sz w:val="28"/>
          <w:szCs w:val="28"/>
        </w:rPr>
        <w:t>21</w:t>
      </w:r>
    </w:p>
    <w:p w14:paraId="53CBD2AC" w14:textId="13D122E1" w:rsidR="00EC3F05" w:rsidRPr="00D660F4" w:rsidRDefault="00EC3F05" w:rsidP="00EA49D1">
      <w:pPr>
        <w:rPr>
          <w:rFonts w:cs="Arial"/>
          <w:b/>
          <w:color w:val="FF0000"/>
          <w:sz w:val="28"/>
          <w:szCs w:val="28"/>
        </w:rPr>
      </w:pPr>
      <w:r>
        <w:rPr>
          <w:rFonts w:cs="Arial"/>
          <w:b/>
          <w:sz w:val="28"/>
          <w:szCs w:val="28"/>
        </w:rPr>
        <w:t xml:space="preserve">Revised: </w:t>
      </w:r>
      <w:r w:rsidR="00DA311D">
        <w:rPr>
          <w:rFonts w:cs="Arial"/>
          <w:b/>
          <w:sz w:val="28"/>
          <w:szCs w:val="28"/>
        </w:rPr>
        <w:t>5</w:t>
      </w:r>
      <w:r w:rsidR="005F7B4C">
        <w:rPr>
          <w:rFonts w:cs="Arial"/>
          <w:b/>
          <w:sz w:val="28"/>
          <w:szCs w:val="28"/>
        </w:rPr>
        <w:t>/</w:t>
      </w:r>
      <w:r w:rsidR="00DA311D">
        <w:rPr>
          <w:rFonts w:cs="Arial"/>
          <w:b/>
          <w:sz w:val="28"/>
          <w:szCs w:val="28"/>
        </w:rPr>
        <w:t>2</w:t>
      </w:r>
      <w:r w:rsidR="005F7B4C">
        <w:rPr>
          <w:rFonts w:cs="Arial"/>
          <w:b/>
          <w:sz w:val="28"/>
          <w:szCs w:val="28"/>
        </w:rPr>
        <w:t>/</w:t>
      </w:r>
      <w:r w:rsidR="00877AE3">
        <w:rPr>
          <w:rFonts w:cs="Arial"/>
          <w:b/>
          <w:sz w:val="28"/>
          <w:szCs w:val="28"/>
        </w:rPr>
        <w:t>20</w:t>
      </w:r>
      <w:r w:rsidR="005F7B4C">
        <w:rPr>
          <w:rFonts w:cs="Arial"/>
          <w:b/>
          <w:sz w:val="28"/>
          <w:szCs w:val="28"/>
        </w:rPr>
        <w:t>2</w:t>
      </w:r>
      <w:r w:rsidR="00DA311D">
        <w:rPr>
          <w:rFonts w:cs="Arial"/>
          <w:b/>
          <w:sz w:val="28"/>
          <w:szCs w:val="28"/>
        </w:rPr>
        <w:t>2</w:t>
      </w:r>
      <w:r w:rsidR="00D660F4" w:rsidRPr="00037927">
        <w:rPr>
          <w:rFonts w:cs="Arial"/>
          <w:b/>
          <w:color w:val="000000" w:themeColor="text1"/>
          <w:sz w:val="28"/>
          <w:szCs w:val="28"/>
        </w:rPr>
        <w:t xml:space="preserve">, </w:t>
      </w:r>
      <w:r w:rsidR="00037927" w:rsidRPr="00037927">
        <w:rPr>
          <w:rFonts w:cs="Arial"/>
          <w:b/>
          <w:color w:val="000000" w:themeColor="text1"/>
          <w:sz w:val="28"/>
          <w:szCs w:val="28"/>
        </w:rPr>
        <w:t>7</w:t>
      </w:r>
      <w:r w:rsidR="00D660F4" w:rsidRPr="00037927">
        <w:rPr>
          <w:rFonts w:cs="Arial"/>
          <w:b/>
          <w:color w:val="000000" w:themeColor="text1"/>
          <w:sz w:val="28"/>
          <w:szCs w:val="28"/>
        </w:rPr>
        <w:t>/</w:t>
      </w:r>
      <w:r w:rsidR="00037927" w:rsidRPr="00037927">
        <w:rPr>
          <w:rFonts w:cs="Arial"/>
          <w:b/>
          <w:color w:val="000000" w:themeColor="text1"/>
          <w:sz w:val="28"/>
          <w:szCs w:val="28"/>
        </w:rPr>
        <w:t>10</w:t>
      </w:r>
      <w:r w:rsidR="00D660F4" w:rsidRPr="00037927">
        <w:rPr>
          <w:rFonts w:cs="Arial"/>
          <w:b/>
          <w:color w:val="000000" w:themeColor="text1"/>
          <w:sz w:val="28"/>
          <w:szCs w:val="28"/>
        </w:rPr>
        <w:t>/2023</w:t>
      </w:r>
    </w:p>
    <w:p w14:paraId="4D0E7859" w14:textId="77777777" w:rsidR="003B46BC" w:rsidRPr="00CA2623" w:rsidRDefault="003B46BC" w:rsidP="003B46BC">
      <w:pPr>
        <w:tabs>
          <w:tab w:val="left" w:pos="0"/>
        </w:tabs>
        <w:overflowPunct/>
        <w:spacing w:after="80"/>
        <w:rPr>
          <w:rFonts w:cs="Arial"/>
          <w:bCs/>
          <w:sz w:val="24"/>
          <w:szCs w:val="24"/>
        </w:rPr>
      </w:pPr>
    </w:p>
    <w:p w14:paraId="07C2D89D" w14:textId="100F7592" w:rsidR="008B3779" w:rsidRPr="00355DDF" w:rsidRDefault="003B46BC" w:rsidP="00CD039E">
      <w:pPr>
        <w:tabs>
          <w:tab w:val="left" w:pos="0"/>
        </w:tabs>
        <w:overflowPunct/>
        <w:spacing w:after="80"/>
        <w:rPr>
          <w:rFonts w:eastAsiaTheme="minorHAnsi" w:cs="Arial"/>
          <w:b/>
          <w:bCs/>
          <w:sz w:val="24"/>
          <w:szCs w:val="24"/>
        </w:rPr>
      </w:pPr>
      <w:r w:rsidRPr="00355DDF">
        <w:rPr>
          <w:rFonts w:eastAsiaTheme="minorHAnsi" w:cs="Arial"/>
          <w:b/>
          <w:bCs/>
          <w:sz w:val="24"/>
          <w:szCs w:val="24"/>
        </w:rPr>
        <w:t xml:space="preserve">Purpose: </w:t>
      </w:r>
    </w:p>
    <w:p w14:paraId="646A4293" w14:textId="20475CB5" w:rsidR="008A1DAF" w:rsidRPr="00D0241C" w:rsidRDefault="008A1DAF" w:rsidP="008A1DAF">
      <w:pPr>
        <w:pStyle w:val="BodyText"/>
        <w:ind w:right="242"/>
        <w:rPr>
          <w:rFonts w:eastAsiaTheme="minorEastAsia" w:cs="Arial"/>
          <w:bCs/>
          <w:i/>
          <w:iCs/>
          <w:szCs w:val="24"/>
        </w:rPr>
      </w:pPr>
      <w:r w:rsidRPr="00D72B9C">
        <w:rPr>
          <w:rFonts w:eastAsiaTheme="minorEastAsia" w:cs="Arial"/>
          <w:szCs w:val="24"/>
        </w:rPr>
        <w:t xml:space="preserve">To communicate the requirement to co-enroll Trade Adjustment Assistance (TAA) participants into the Workforce Innovation and Opportunity Act (WIOA) Title I-B </w:t>
      </w:r>
      <w:r w:rsidRPr="00D0241C">
        <w:rPr>
          <w:rFonts w:eastAsiaTheme="minorEastAsia" w:cs="Arial"/>
          <w:szCs w:val="24"/>
        </w:rPr>
        <w:t>Dislocated Worker</w:t>
      </w:r>
      <w:r>
        <w:rPr>
          <w:rFonts w:eastAsiaTheme="minorEastAsia" w:cs="Arial"/>
          <w:szCs w:val="24"/>
        </w:rPr>
        <w:t xml:space="preserve"> (DW)</w:t>
      </w:r>
      <w:r w:rsidRPr="00D0241C">
        <w:rPr>
          <w:rFonts w:eastAsiaTheme="minorEastAsia" w:cs="Arial"/>
          <w:szCs w:val="24"/>
        </w:rPr>
        <w:t xml:space="preserve"> program if they are eligible, unless they decline.</w:t>
      </w:r>
    </w:p>
    <w:p w14:paraId="5B89007B" w14:textId="77777777" w:rsidR="008A1DAF" w:rsidRPr="00730B3E" w:rsidRDefault="008A1DAF" w:rsidP="008A1DAF">
      <w:pPr>
        <w:widowControl w:val="0"/>
        <w:spacing w:line="225" w:lineRule="auto"/>
        <w:ind w:right="660"/>
        <w:rPr>
          <w:rFonts w:cs="Arial"/>
          <w:sz w:val="24"/>
          <w:szCs w:val="24"/>
        </w:rPr>
      </w:pPr>
    </w:p>
    <w:p w14:paraId="5E41026C" w14:textId="3E9EF48B" w:rsidR="008A1DAF" w:rsidRDefault="004741C7" w:rsidP="000909A1">
      <w:pPr>
        <w:overflowPunct/>
        <w:spacing w:after="80"/>
        <w:rPr>
          <w:rFonts w:eastAsiaTheme="minorHAnsi" w:cs="Arial"/>
          <w:b/>
          <w:bCs/>
          <w:sz w:val="24"/>
          <w:szCs w:val="24"/>
        </w:rPr>
      </w:pPr>
      <w:r>
        <w:rPr>
          <w:rFonts w:eastAsiaTheme="minorHAnsi" w:cs="Arial"/>
          <w:b/>
          <w:bCs/>
          <w:sz w:val="24"/>
          <w:szCs w:val="24"/>
        </w:rPr>
        <w:t>Background</w:t>
      </w:r>
      <w:r w:rsidR="007415E9" w:rsidRPr="00355DDF">
        <w:rPr>
          <w:rFonts w:eastAsiaTheme="minorHAnsi" w:cs="Arial"/>
          <w:b/>
          <w:bCs/>
          <w:sz w:val="24"/>
          <w:szCs w:val="24"/>
        </w:rPr>
        <w:t>:</w:t>
      </w:r>
    </w:p>
    <w:p w14:paraId="7F06D7AD" w14:textId="47755B47" w:rsidR="008A1DAF" w:rsidRDefault="008A1DAF" w:rsidP="008A1DAF">
      <w:pPr>
        <w:pStyle w:val="BodyText"/>
        <w:spacing w:after="240"/>
        <w:ind w:right="242"/>
        <w:jc w:val="both"/>
      </w:pPr>
      <w:r w:rsidRPr="00D0241C">
        <w:t xml:space="preserve">The U.S. Department of Labor (DOL) published the TAA </w:t>
      </w:r>
      <w:r w:rsidR="006971FC">
        <w:t>Program Reversion Provisions of the</w:t>
      </w:r>
      <w:r w:rsidR="005A27CD">
        <w:t xml:space="preserve"> </w:t>
      </w:r>
      <w:r w:rsidR="006971FC">
        <w:t>Trade Adjustment Assistance Reauthorization Act of 2015</w:t>
      </w:r>
      <w:r w:rsidR="005A27CD">
        <w:t xml:space="preserve"> (TAARA 2015) that </w:t>
      </w:r>
      <w:r w:rsidR="005E18C8">
        <w:t>applies</w:t>
      </w:r>
      <w:r w:rsidR="005A27CD">
        <w:t xml:space="preserve"> to the program benefits applicable to workers covered by petitions filed on or after July 1, 2021. </w:t>
      </w:r>
    </w:p>
    <w:p w14:paraId="7BE53087" w14:textId="555891A2" w:rsidR="005A27CD" w:rsidRPr="00D0241C" w:rsidRDefault="005A27CD" w:rsidP="008A1DAF">
      <w:pPr>
        <w:pStyle w:val="BodyText"/>
        <w:spacing w:after="240"/>
        <w:ind w:right="242"/>
        <w:jc w:val="both"/>
        <w:rPr>
          <w:i/>
          <w:iCs/>
        </w:rPr>
      </w:pPr>
      <w:r>
        <w:t>The U.S. Department of Labor (DOL) published the updated and consolidated TAA Final Rule on August 21, 2020. 20 CFR 618.325 requires co-enrollment of all TAA participants into the WIOA Title I-B Dislocated Worker (DW) program, subject to eligibility, unless they decline.</w:t>
      </w:r>
    </w:p>
    <w:p w14:paraId="4E43FA93" w14:textId="7CB39232" w:rsidR="008A1DAF" w:rsidRPr="00D0241C" w:rsidRDefault="008A1DAF" w:rsidP="008A1DAF">
      <w:pPr>
        <w:widowControl w:val="0"/>
        <w:spacing w:line="234" w:lineRule="auto"/>
        <w:jc w:val="both"/>
        <w:rPr>
          <w:bCs/>
          <w:sz w:val="24"/>
        </w:rPr>
      </w:pPr>
      <w:r w:rsidRPr="00D0241C">
        <w:rPr>
          <w:bCs/>
          <w:sz w:val="24"/>
        </w:rPr>
        <w:t>Though there is no equivalent WIOA Final Rule or WIOA-operating guidance, DOL commented on page 51913 of the TAA Final Rule that States, under their Governor-Secretary Agreements, are required to implement the Final Rule. The Agreements bind state governments to the terms and conditions of the Agreement and implementation of the TAA program, including the co-enrollment requirement and the ability to enforce the co-enrollment requirement at the state and local levels</w:t>
      </w:r>
      <w:r>
        <w:rPr>
          <w:bCs/>
          <w:sz w:val="24"/>
        </w:rPr>
        <w:t>.</w:t>
      </w:r>
    </w:p>
    <w:p w14:paraId="4B5E15EE" w14:textId="77777777" w:rsidR="008A1DAF" w:rsidRDefault="008A1DAF" w:rsidP="000909A1">
      <w:pPr>
        <w:overflowPunct/>
        <w:spacing w:after="80"/>
        <w:rPr>
          <w:rFonts w:eastAsiaTheme="minorHAnsi" w:cs="Arial"/>
          <w:b/>
          <w:bCs/>
          <w:sz w:val="24"/>
          <w:szCs w:val="24"/>
        </w:rPr>
      </w:pPr>
    </w:p>
    <w:p w14:paraId="7E61D91D" w14:textId="77777777" w:rsidR="008A1DAF" w:rsidRDefault="008A1DAF" w:rsidP="000909A1">
      <w:pPr>
        <w:overflowPunct/>
        <w:spacing w:after="80"/>
        <w:rPr>
          <w:rFonts w:eastAsiaTheme="minorHAnsi" w:cs="Arial"/>
          <w:b/>
          <w:bCs/>
          <w:sz w:val="24"/>
          <w:szCs w:val="24"/>
        </w:rPr>
      </w:pPr>
    </w:p>
    <w:p w14:paraId="613B4CAA" w14:textId="77777777" w:rsidR="008A1DAF" w:rsidRDefault="008A1DAF" w:rsidP="000909A1">
      <w:pPr>
        <w:overflowPunct/>
        <w:spacing w:after="80"/>
        <w:rPr>
          <w:rFonts w:eastAsiaTheme="minorHAnsi" w:cs="Arial"/>
          <w:b/>
          <w:bCs/>
          <w:sz w:val="24"/>
          <w:szCs w:val="24"/>
        </w:rPr>
      </w:pPr>
    </w:p>
    <w:p w14:paraId="7FE93A41" w14:textId="77777777" w:rsidR="008A1DAF" w:rsidRDefault="008A1DAF" w:rsidP="000909A1">
      <w:pPr>
        <w:overflowPunct/>
        <w:spacing w:after="80"/>
        <w:rPr>
          <w:rFonts w:eastAsiaTheme="minorHAnsi" w:cs="Arial"/>
          <w:b/>
          <w:bCs/>
          <w:sz w:val="24"/>
          <w:szCs w:val="24"/>
        </w:rPr>
      </w:pPr>
    </w:p>
    <w:p w14:paraId="3368198A" w14:textId="77777777" w:rsidR="008A1DAF" w:rsidRDefault="008A1DAF" w:rsidP="000909A1">
      <w:pPr>
        <w:overflowPunct/>
        <w:spacing w:after="80"/>
        <w:rPr>
          <w:rFonts w:eastAsiaTheme="minorHAnsi" w:cs="Arial"/>
          <w:b/>
          <w:bCs/>
          <w:sz w:val="24"/>
          <w:szCs w:val="24"/>
        </w:rPr>
      </w:pPr>
    </w:p>
    <w:p w14:paraId="4A481FEB" w14:textId="77777777" w:rsidR="008A1DAF" w:rsidRDefault="008A1DAF" w:rsidP="000909A1">
      <w:pPr>
        <w:overflowPunct/>
        <w:spacing w:after="80"/>
        <w:rPr>
          <w:rFonts w:eastAsiaTheme="minorHAnsi" w:cs="Arial"/>
          <w:b/>
          <w:bCs/>
          <w:sz w:val="24"/>
          <w:szCs w:val="24"/>
        </w:rPr>
      </w:pPr>
    </w:p>
    <w:p w14:paraId="52913666" w14:textId="77777777" w:rsidR="008A1DAF" w:rsidRDefault="008A1DAF" w:rsidP="000909A1">
      <w:pPr>
        <w:overflowPunct/>
        <w:spacing w:after="80"/>
        <w:rPr>
          <w:rFonts w:eastAsiaTheme="minorHAnsi" w:cs="Arial"/>
          <w:b/>
          <w:bCs/>
          <w:sz w:val="24"/>
          <w:szCs w:val="24"/>
        </w:rPr>
      </w:pPr>
    </w:p>
    <w:p w14:paraId="742F848B" w14:textId="77777777" w:rsidR="008A1DAF" w:rsidRDefault="008A1DAF" w:rsidP="000909A1">
      <w:pPr>
        <w:overflowPunct/>
        <w:spacing w:after="80"/>
        <w:rPr>
          <w:rFonts w:eastAsiaTheme="minorHAnsi" w:cs="Arial"/>
          <w:b/>
          <w:bCs/>
          <w:sz w:val="24"/>
          <w:szCs w:val="24"/>
        </w:rPr>
      </w:pPr>
    </w:p>
    <w:p w14:paraId="4222D570" w14:textId="77777777" w:rsidR="008A1DAF" w:rsidRDefault="008A1DAF" w:rsidP="000909A1">
      <w:pPr>
        <w:overflowPunct/>
        <w:spacing w:after="80"/>
        <w:rPr>
          <w:rFonts w:eastAsiaTheme="minorHAnsi" w:cs="Arial"/>
          <w:b/>
          <w:bCs/>
          <w:sz w:val="24"/>
          <w:szCs w:val="24"/>
        </w:rPr>
      </w:pPr>
    </w:p>
    <w:p w14:paraId="698B4F39" w14:textId="77777777" w:rsidR="008A1DAF" w:rsidRDefault="008A1DAF" w:rsidP="000909A1">
      <w:pPr>
        <w:overflowPunct/>
        <w:spacing w:after="80"/>
        <w:rPr>
          <w:rFonts w:eastAsiaTheme="minorHAnsi" w:cs="Arial"/>
          <w:b/>
          <w:bCs/>
          <w:sz w:val="24"/>
          <w:szCs w:val="24"/>
        </w:rPr>
      </w:pPr>
    </w:p>
    <w:p w14:paraId="4A9AE331" w14:textId="77777777" w:rsidR="008A1DAF" w:rsidRDefault="008A1DAF" w:rsidP="000909A1">
      <w:pPr>
        <w:overflowPunct/>
        <w:spacing w:after="80"/>
        <w:rPr>
          <w:rFonts w:eastAsiaTheme="minorHAnsi" w:cs="Arial"/>
          <w:b/>
          <w:bCs/>
          <w:sz w:val="24"/>
          <w:szCs w:val="24"/>
        </w:rPr>
      </w:pPr>
    </w:p>
    <w:p w14:paraId="39D21A50" w14:textId="77777777" w:rsidR="008A1DAF" w:rsidRDefault="008A1DAF" w:rsidP="000909A1">
      <w:pPr>
        <w:overflowPunct/>
        <w:spacing w:after="80"/>
        <w:rPr>
          <w:rFonts w:eastAsiaTheme="minorHAnsi" w:cs="Arial"/>
          <w:b/>
          <w:bCs/>
          <w:sz w:val="24"/>
          <w:szCs w:val="24"/>
        </w:rPr>
      </w:pPr>
    </w:p>
    <w:p w14:paraId="0B330254" w14:textId="77777777" w:rsidR="008A1DAF" w:rsidRDefault="008A1DAF" w:rsidP="000909A1">
      <w:pPr>
        <w:overflowPunct/>
        <w:spacing w:after="80"/>
        <w:rPr>
          <w:rFonts w:eastAsiaTheme="minorHAnsi" w:cs="Arial"/>
          <w:b/>
          <w:bCs/>
          <w:sz w:val="24"/>
          <w:szCs w:val="24"/>
        </w:rPr>
      </w:pPr>
    </w:p>
    <w:p w14:paraId="07D542B2" w14:textId="6BC28EB9" w:rsidR="008A1DAF" w:rsidRDefault="008A1DAF" w:rsidP="008A1DAF">
      <w:pPr>
        <w:widowControl w:val="0"/>
        <w:rPr>
          <w:rFonts w:cs="Arial"/>
          <w:b/>
          <w:bCs/>
          <w:sz w:val="24"/>
          <w:szCs w:val="24"/>
        </w:rPr>
      </w:pPr>
      <w:r w:rsidRPr="00730B3E">
        <w:rPr>
          <w:rFonts w:cs="Arial"/>
          <w:b/>
          <w:bCs/>
          <w:sz w:val="24"/>
          <w:szCs w:val="24"/>
        </w:rPr>
        <w:lastRenderedPageBreak/>
        <w:t>Operational Procedure</w:t>
      </w:r>
    </w:p>
    <w:p w14:paraId="1B6C538C" w14:textId="636B730F" w:rsidR="008A1DAF" w:rsidRPr="005E1784" w:rsidRDefault="008A1DAF" w:rsidP="008A1DAF">
      <w:pPr>
        <w:widowControl w:val="0"/>
        <w:rPr>
          <w:rFonts w:cs="Arial"/>
          <w:sz w:val="24"/>
          <w:szCs w:val="24"/>
        </w:rPr>
      </w:pPr>
      <w:r w:rsidRPr="005E1784">
        <w:rPr>
          <w:rFonts w:cs="Arial"/>
          <w:sz w:val="24"/>
          <w:szCs w:val="24"/>
        </w:rPr>
        <w:t xml:space="preserve">TAA </w:t>
      </w:r>
      <w:r>
        <w:rPr>
          <w:rFonts w:cs="Arial"/>
          <w:sz w:val="24"/>
          <w:szCs w:val="24"/>
        </w:rPr>
        <w:t>participants</w:t>
      </w:r>
      <w:r w:rsidR="00316ABD">
        <w:rPr>
          <w:rFonts w:cs="Arial"/>
          <w:sz w:val="24"/>
          <w:szCs w:val="24"/>
        </w:rPr>
        <w:t xml:space="preserve"> </w:t>
      </w:r>
      <w:r w:rsidR="000B707C">
        <w:rPr>
          <w:rFonts w:cs="Arial"/>
          <w:sz w:val="24"/>
          <w:szCs w:val="24"/>
        </w:rPr>
        <w:t>must be co-enrolled in the WIOA Title l-B DW progr</w:t>
      </w:r>
      <w:r w:rsidR="00316ABD">
        <w:rPr>
          <w:rFonts w:cs="Arial"/>
          <w:sz w:val="24"/>
          <w:szCs w:val="24"/>
        </w:rPr>
        <w:t>a</w:t>
      </w:r>
      <w:r w:rsidR="000B707C">
        <w:rPr>
          <w:rFonts w:cs="Arial"/>
          <w:sz w:val="24"/>
          <w:szCs w:val="24"/>
        </w:rPr>
        <w:t>m if they are determined eligible, unless the partic</w:t>
      </w:r>
      <w:r w:rsidR="00552E8D">
        <w:rPr>
          <w:rFonts w:cs="Arial"/>
          <w:sz w:val="24"/>
          <w:szCs w:val="24"/>
        </w:rPr>
        <w:t>i</w:t>
      </w:r>
      <w:r w:rsidR="000B707C">
        <w:rPr>
          <w:rFonts w:cs="Arial"/>
          <w:sz w:val="24"/>
          <w:szCs w:val="24"/>
        </w:rPr>
        <w:t>pant declines. For TAA participants being served under the TAARA of 2015</w:t>
      </w:r>
      <w:r w:rsidR="00316ABD">
        <w:rPr>
          <w:rFonts w:cs="Arial"/>
          <w:sz w:val="24"/>
          <w:szCs w:val="24"/>
        </w:rPr>
        <w:t>,</w:t>
      </w:r>
      <w:r w:rsidR="000B707C">
        <w:rPr>
          <w:rFonts w:cs="Arial"/>
          <w:sz w:val="24"/>
          <w:szCs w:val="24"/>
        </w:rPr>
        <w:t xml:space="preserve"> co-enrollment would include Adversely Affected Incumbent Workers (AAIW</w:t>
      </w:r>
      <w:proofErr w:type="gramStart"/>
      <w:r w:rsidR="000B707C">
        <w:rPr>
          <w:rFonts w:cs="Arial"/>
          <w:sz w:val="24"/>
          <w:szCs w:val="24"/>
        </w:rPr>
        <w:t>)(</w:t>
      </w:r>
      <w:proofErr w:type="gramEnd"/>
      <w:r w:rsidR="000B707C">
        <w:rPr>
          <w:rFonts w:cs="Arial"/>
          <w:sz w:val="24"/>
          <w:szCs w:val="24"/>
        </w:rPr>
        <w:t xml:space="preserve">see definition below). </w:t>
      </w:r>
      <w:r w:rsidR="005C6650">
        <w:rPr>
          <w:rFonts w:cs="Arial"/>
          <w:sz w:val="24"/>
          <w:szCs w:val="24"/>
        </w:rPr>
        <w:t>However, AA</w:t>
      </w:r>
      <w:r w:rsidR="000B707C">
        <w:rPr>
          <w:rFonts w:cs="Arial"/>
          <w:sz w:val="24"/>
          <w:szCs w:val="24"/>
        </w:rPr>
        <w:t xml:space="preserve">IW </w:t>
      </w:r>
      <w:proofErr w:type="gramStart"/>
      <w:r w:rsidR="000B707C">
        <w:rPr>
          <w:rFonts w:cs="Arial"/>
          <w:sz w:val="24"/>
          <w:szCs w:val="24"/>
        </w:rPr>
        <w:t>do</w:t>
      </w:r>
      <w:proofErr w:type="gramEnd"/>
      <w:r w:rsidR="000B707C">
        <w:rPr>
          <w:rFonts w:cs="Arial"/>
          <w:sz w:val="24"/>
          <w:szCs w:val="24"/>
        </w:rPr>
        <w:t xml:space="preserve"> not qualify under TAA Reversion 2021.</w:t>
      </w:r>
      <w:r>
        <w:rPr>
          <w:rFonts w:cs="Arial"/>
          <w:sz w:val="24"/>
          <w:szCs w:val="24"/>
        </w:rPr>
        <w:t xml:space="preserve"> </w:t>
      </w:r>
      <w:r w:rsidR="00316ABD">
        <w:rPr>
          <w:rFonts w:cs="Arial"/>
          <w:sz w:val="24"/>
          <w:szCs w:val="24"/>
        </w:rPr>
        <w:t>C</w:t>
      </w:r>
      <w:r w:rsidR="00316ABD" w:rsidRPr="00086629">
        <w:rPr>
          <w:rFonts w:cs="Arial"/>
          <w:sz w:val="24"/>
          <w:szCs w:val="24"/>
        </w:rPr>
        <w:t>o-enrolling TAA</w:t>
      </w:r>
      <w:r w:rsidR="00316ABD">
        <w:rPr>
          <w:rFonts w:cs="Arial"/>
          <w:sz w:val="24"/>
          <w:szCs w:val="24"/>
        </w:rPr>
        <w:t>-</w:t>
      </w:r>
      <w:r w:rsidR="00316ABD" w:rsidRPr="00086629">
        <w:rPr>
          <w:rFonts w:cs="Arial"/>
          <w:sz w:val="24"/>
          <w:szCs w:val="24"/>
        </w:rPr>
        <w:t>eligible workers in the DW program helps ensure expedited employment services, including training assessments</w:t>
      </w:r>
      <w:r w:rsidR="00316ABD">
        <w:rPr>
          <w:rFonts w:cs="Arial"/>
          <w:sz w:val="24"/>
          <w:szCs w:val="24"/>
        </w:rPr>
        <w:t>, case</w:t>
      </w:r>
      <w:r w:rsidR="00316ABD" w:rsidRPr="00086629">
        <w:rPr>
          <w:rFonts w:cs="Arial"/>
          <w:sz w:val="24"/>
          <w:szCs w:val="24"/>
        </w:rPr>
        <w:t xml:space="preserve"> management</w:t>
      </w:r>
      <w:r w:rsidR="00316ABD">
        <w:rPr>
          <w:rFonts w:cs="Arial"/>
          <w:sz w:val="24"/>
          <w:szCs w:val="24"/>
        </w:rPr>
        <w:t xml:space="preserve">, </w:t>
      </w:r>
      <w:r w:rsidR="00316ABD" w:rsidRPr="00086629">
        <w:rPr>
          <w:rFonts w:cs="Arial"/>
          <w:sz w:val="24"/>
          <w:szCs w:val="24"/>
        </w:rPr>
        <w:t>early intervention services</w:t>
      </w:r>
      <w:r w:rsidR="00316ABD">
        <w:rPr>
          <w:rFonts w:cs="Arial"/>
          <w:sz w:val="24"/>
          <w:szCs w:val="24"/>
        </w:rPr>
        <w:t>,</w:t>
      </w:r>
      <w:r w:rsidR="00316ABD" w:rsidRPr="00086629">
        <w:rPr>
          <w:rFonts w:cs="Arial"/>
          <w:sz w:val="24"/>
          <w:szCs w:val="24"/>
        </w:rPr>
        <w:t xml:space="preserve"> </w:t>
      </w:r>
      <w:r w:rsidR="00316ABD">
        <w:rPr>
          <w:rFonts w:cs="Arial"/>
          <w:sz w:val="24"/>
          <w:szCs w:val="24"/>
        </w:rPr>
        <w:t xml:space="preserve">and </w:t>
      </w:r>
      <w:r w:rsidR="00316ABD" w:rsidRPr="00086629">
        <w:rPr>
          <w:rFonts w:cs="Arial"/>
          <w:sz w:val="24"/>
          <w:szCs w:val="24"/>
        </w:rPr>
        <w:t>increase</w:t>
      </w:r>
      <w:r w:rsidR="00316ABD">
        <w:rPr>
          <w:rFonts w:cs="Arial"/>
          <w:sz w:val="24"/>
          <w:szCs w:val="24"/>
        </w:rPr>
        <w:t>s</w:t>
      </w:r>
      <w:r w:rsidR="00316ABD" w:rsidRPr="00086629">
        <w:rPr>
          <w:rFonts w:cs="Arial"/>
          <w:sz w:val="24"/>
          <w:szCs w:val="24"/>
        </w:rPr>
        <w:t xml:space="preserve"> customer service</w:t>
      </w:r>
      <w:r w:rsidR="00316ABD">
        <w:rPr>
          <w:rFonts w:cs="Arial"/>
          <w:sz w:val="24"/>
          <w:szCs w:val="24"/>
        </w:rPr>
        <w:t>s</w:t>
      </w:r>
      <w:r w:rsidR="00316ABD" w:rsidRPr="00086629">
        <w:rPr>
          <w:rFonts w:cs="Arial"/>
          <w:sz w:val="24"/>
          <w:szCs w:val="24"/>
        </w:rPr>
        <w:t xml:space="preserve"> </w:t>
      </w:r>
      <w:r w:rsidR="00316ABD">
        <w:rPr>
          <w:rFonts w:cs="Arial"/>
          <w:sz w:val="24"/>
          <w:szCs w:val="24"/>
        </w:rPr>
        <w:t>leading</w:t>
      </w:r>
      <w:r w:rsidR="00316ABD" w:rsidRPr="00086629">
        <w:rPr>
          <w:rFonts w:cs="Arial"/>
          <w:sz w:val="24"/>
          <w:szCs w:val="24"/>
        </w:rPr>
        <w:t xml:space="preserve"> to positive outcomes.</w:t>
      </w:r>
    </w:p>
    <w:p w14:paraId="25CDF422" w14:textId="77777777" w:rsidR="008A1DAF" w:rsidRPr="00730B3E" w:rsidRDefault="008A1DAF" w:rsidP="008A1DAF">
      <w:pPr>
        <w:widowControl w:val="0"/>
        <w:spacing w:line="237" w:lineRule="auto"/>
        <w:jc w:val="both"/>
        <w:rPr>
          <w:rFonts w:cs="Arial"/>
          <w:sz w:val="24"/>
          <w:szCs w:val="24"/>
        </w:rPr>
      </w:pPr>
    </w:p>
    <w:p w14:paraId="691B80C2" w14:textId="77777777" w:rsidR="008A1DAF" w:rsidRDefault="008A1DAF" w:rsidP="008A1DAF">
      <w:pPr>
        <w:numPr>
          <w:ilvl w:val="0"/>
          <w:numId w:val="34"/>
        </w:numPr>
        <w:overflowPunct/>
        <w:autoSpaceDE/>
        <w:autoSpaceDN/>
        <w:adjustRightInd/>
        <w:rPr>
          <w:rFonts w:cs="Arial"/>
          <w:b/>
          <w:sz w:val="24"/>
          <w:szCs w:val="24"/>
        </w:rPr>
      </w:pPr>
      <w:r>
        <w:rPr>
          <w:rFonts w:cs="Arial"/>
          <w:b/>
          <w:sz w:val="24"/>
          <w:szCs w:val="24"/>
        </w:rPr>
        <w:t>TAA Participant Notification Requirement</w:t>
      </w:r>
    </w:p>
    <w:p w14:paraId="5F278C75" w14:textId="15F8E052" w:rsidR="008A1DAF" w:rsidRPr="001524EC" w:rsidRDefault="008A1DAF" w:rsidP="008A1DAF">
      <w:pPr>
        <w:pStyle w:val="ListParagraph"/>
        <w:numPr>
          <w:ilvl w:val="0"/>
          <w:numId w:val="35"/>
        </w:numPr>
        <w:overflowPunct/>
        <w:autoSpaceDE/>
        <w:autoSpaceDN/>
        <w:adjustRightInd/>
        <w:rPr>
          <w:rFonts w:cs="Arial"/>
          <w:sz w:val="24"/>
          <w:szCs w:val="24"/>
        </w:rPr>
      </w:pPr>
      <w:r w:rsidRPr="001524EC">
        <w:rPr>
          <w:rFonts w:cs="Arial"/>
          <w:sz w:val="24"/>
          <w:szCs w:val="24"/>
        </w:rPr>
        <w:t xml:space="preserve">TAA </w:t>
      </w:r>
      <w:r>
        <w:rPr>
          <w:rFonts w:cs="Arial"/>
          <w:sz w:val="24"/>
          <w:szCs w:val="24"/>
        </w:rPr>
        <w:t>staff</w:t>
      </w:r>
      <w:r w:rsidRPr="001524EC">
        <w:rPr>
          <w:rFonts w:cs="Arial"/>
          <w:sz w:val="24"/>
          <w:szCs w:val="24"/>
        </w:rPr>
        <w:t xml:space="preserve"> </w:t>
      </w:r>
      <w:r>
        <w:rPr>
          <w:rFonts w:cs="Arial"/>
          <w:sz w:val="24"/>
          <w:szCs w:val="24"/>
        </w:rPr>
        <w:t xml:space="preserve">shall </w:t>
      </w:r>
      <w:r w:rsidRPr="001524EC">
        <w:rPr>
          <w:rFonts w:cs="Arial"/>
          <w:sz w:val="24"/>
          <w:szCs w:val="24"/>
        </w:rPr>
        <w:t xml:space="preserve">inform TAA participants about the benefit and option of co-enrolling into the DW program and that declining to co-enroll </w:t>
      </w:r>
      <w:r>
        <w:rPr>
          <w:rFonts w:cs="Arial"/>
          <w:sz w:val="24"/>
          <w:szCs w:val="24"/>
        </w:rPr>
        <w:t>shall</w:t>
      </w:r>
      <w:r w:rsidRPr="001524EC">
        <w:rPr>
          <w:rFonts w:cs="Arial"/>
          <w:sz w:val="24"/>
          <w:szCs w:val="24"/>
        </w:rPr>
        <w:t xml:space="preserve"> have no adverse impact on their </w:t>
      </w:r>
      <w:r w:rsidR="00F6209F">
        <w:rPr>
          <w:rFonts w:cs="Arial"/>
          <w:sz w:val="24"/>
          <w:szCs w:val="24"/>
        </w:rPr>
        <w:t xml:space="preserve">TAA </w:t>
      </w:r>
      <w:r w:rsidRPr="001524EC">
        <w:rPr>
          <w:rFonts w:cs="Arial"/>
          <w:sz w:val="24"/>
          <w:szCs w:val="24"/>
        </w:rPr>
        <w:t>services.</w:t>
      </w:r>
    </w:p>
    <w:p w14:paraId="0B44599F" w14:textId="07C2612A" w:rsidR="008A1DAF" w:rsidRPr="001524EC" w:rsidRDefault="008A1DAF" w:rsidP="008A1DAF">
      <w:pPr>
        <w:pStyle w:val="ListParagraph"/>
        <w:numPr>
          <w:ilvl w:val="0"/>
          <w:numId w:val="35"/>
        </w:numPr>
        <w:overflowPunct/>
        <w:autoSpaceDE/>
        <w:autoSpaceDN/>
        <w:adjustRightInd/>
        <w:spacing w:after="200" w:line="276" w:lineRule="auto"/>
        <w:rPr>
          <w:rFonts w:cs="Arial"/>
          <w:sz w:val="24"/>
          <w:szCs w:val="24"/>
        </w:rPr>
      </w:pPr>
      <w:r w:rsidRPr="001524EC">
        <w:rPr>
          <w:rFonts w:cs="Arial"/>
          <w:sz w:val="24"/>
          <w:szCs w:val="24"/>
        </w:rPr>
        <w:t xml:space="preserve">TAA </w:t>
      </w:r>
      <w:r>
        <w:rPr>
          <w:rFonts w:cs="Arial"/>
          <w:sz w:val="24"/>
          <w:szCs w:val="24"/>
        </w:rPr>
        <w:t>staff</w:t>
      </w:r>
      <w:r w:rsidRPr="001524EC">
        <w:rPr>
          <w:rFonts w:cs="Arial"/>
          <w:sz w:val="24"/>
          <w:szCs w:val="24"/>
        </w:rPr>
        <w:t xml:space="preserve"> shall inform the participant that co-enrollment into the DW program </w:t>
      </w:r>
      <w:r w:rsidR="00F6209F">
        <w:rPr>
          <w:rFonts w:cs="Arial"/>
          <w:sz w:val="24"/>
          <w:szCs w:val="24"/>
        </w:rPr>
        <w:t xml:space="preserve">depends </w:t>
      </w:r>
      <w:r w:rsidRPr="001524EC">
        <w:rPr>
          <w:rFonts w:cs="Arial"/>
          <w:sz w:val="24"/>
          <w:szCs w:val="24"/>
        </w:rPr>
        <w:t xml:space="preserve">on meeting </w:t>
      </w:r>
      <w:r>
        <w:rPr>
          <w:rFonts w:cs="Arial"/>
          <w:sz w:val="24"/>
          <w:szCs w:val="24"/>
        </w:rPr>
        <w:t xml:space="preserve">DW </w:t>
      </w:r>
      <w:r w:rsidRPr="001524EC">
        <w:rPr>
          <w:rFonts w:cs="Arial"/>
          <w:sz w:val="24"/>
          <w:szCs w:val="24"/>
        </w:rPr>
        <w:t>eligibility criteria.</w:t>
      </w:r>
    </w:p>
    <w:p w14:paraId="582ED891" w14:textId="36644721" w:rsidR="008A1DAF" w:rsidRDefault="008A1DAF" w:rsidP="008A1DAF">
      <w:pPr>
        <w:numPr>
          <w:ilvl w:val="0"/>
          <w:numId w:val="34"/>
        </w:numPr>
        <w:overflowPunct/>
        <w:autoSpaceDE/>
        <w:autoSpaceDN/>
        <w:adjustRightInd/>
        <w:rPr>
          <w:rFonts w:cs="Arial"/>
          <w:b/>
          <w:sz w:val="24"/>
          <w:szCs w:val="24"/>
        </w:rPr>
      </w:pPr>
      <w:r>
        <w:rPr>
          <w:rFonts w:cs="Arial"/>
          <w:b/>
          <w:sz w:val="24"/>
          <w:szCs w:val="24"/>
        </w:rPr>
        <w:t>Participant</w:t>
      </w:r>
      <w:r w:rsidR="004D5538">
        <w:rPr>
          <w:rFonts w:cs="Arial"/>
          <w:b/>
          <w:sz w:val="24"/>
          <w:szCs w:val="24"/>
        </w:rPr>
        <w:t>'</w:t>
      </w:r>
      <w:r>
        <w:rPr>
          <w:rFonts w:cs="Arial"/>
          <w:b/>
          <w:sz w:val="24"/>
          <w:szCs w:val="24"/>
        </w:rPr>
        <w:t>s Right to Decline</w:t>
      </w:r>
    </w:p>
    <w:p w14:paraId="1837082C" w14:textId="77777777" w:rsidR="008A1DAF" w:rsidRDefault="008A1DAF" w:rsidP="008A1DAF">
      <w:pPr>
        <w:pStyle w:val="ListParagraph"/>
        <w:numPr>
          <w:ilvl w:val="0"/>
          <w:numId w:val="36"/>
        </w:numPr>
        <w:overflowPunct/>
        <w:autoSpaceDE/>
        <w:autoSpaceDN/>
        <w:adjustRightInd/>
        <w:spacing w:after="200"/>
        <w:rPr>
          <w:rFonts w:cs="Arial"/>
          <w:sz w:val="24"/>
          <w:szCs w:val="24"/>
        </w:rPr>
      </w:pPr>
      <w:r w:rsidRPr="001524EC">
        <w:rPr>
          <w:rFonts w:cs="Arial"/>
          <w:sz w:val="24"/>
          <w:szCs w:val="24"/>
        </w:rPr>
        <w:t xml:space="preserve">A trade-affected worker may decline co-enrollment, which </w:t>
      </w:r>
      <w:r>
        <w:rPr>
          <w:rFonts w:cs="Arial"/>
          <w:sz w:val="24"/>
          <w:szCs w:val="24"/>
        </w:rPr>
        <w:t>shall not affect</w:t>
      </w:r>
      <w:r w:rsidRPr="001524EC">
        <w:rPr>
          <w:rFonts w:cs="Arial"/>
          <w:sz w:val="24"/>
          <w:szCs w:val="24"/>
        </w:rPr>
        <w:t xml:space="preserve"> </w:t>
      </w:r>
      <w:r>
        <w:rPr>
          <w:rFonts w:cs="Arial"/>
          <w:sz w:val="24"/>
          <w:szCs w:val="24"/>
        </w:rPr>
        <w:t xml:space="preserve">their </w:t>
      </w:r>
      <w:r w:rsidRPr="001524EC">
        <w:rPr>
          <w:rFonts w:cs="Arial"/>
          <w:sz w:val="24"/>
          <w:szCs w:val="24"/>
        </w:rPr>
        <w:t>eligibility f</w:t>
      </w:r>
      <w:r>
        <w:rPr>
          <w:rFonts w:cs="Arial"/>
          <w:sz w:val="24"/>
          <w:szCs w:val="24"/>
        </w:rPr>
        <w:t>or</w:t>
      </w:r>
      <w:r w:rsidRPr="001524EC">
        <w:rPr>
          <w:rFonts w:cs="Arial"/>
          <w:sz w:val="24"/>
          <w:szCs w:val="24"/>
        </w:rPr>
        <w:t xml:space="preserve"> benefits and services under the TAA Program. </w:t>
      </w:r>
    </w:p>
    <w:p w14:paraId="12413D21" w14:textId="77777777" w:rsidR="008A1DAF" w:rsidRDefault="008A1DAF" w:rsidP="008A1DAF">
      <w:pPr>
        <w:pStyle w:val="ListParagraph"/>
        <w:numPr>
          <w:ilvl w:val="0"/>
          <w:numId w:val="36"/>
        </w:numPr>
        <w:overflowPunct/>
        <w:autoSpaceDE/>
        <w:autoSpaceDN/>
        <w:adjustRightInd/>
        <w:spacing w:after="200"/>
        <w:rPr>
          <w:rFonts w:cs="Arial"/>
          <w:sz w:val="24"/>
          <w:szCs w:val="24"/>
        </w:rPr>
      </w:pPr>
      <w:r>
        <w:rPr>
          <w:rFonts w:cs="Arial"/>
          <w:sz w:val="24"/>
          <w:szCs w:val="24"/>
        </w:rPr>
        <w:t>If the participant declines a referral to the DW program, TAA staff shall document in case notes the referral was declined.</w:t>
      </w:r>
    </w:p>
    <w:p w14:paraId="6BD2D6DB" w14:textId="471644A6" w:rsidR="008A1DAF" w:rsidRDefault="008A1DAF" w:rsidP="008A1DAF">
      <w:pPr>
        <w:pStyle w:val="ListParagraph"/>
        <w:numPr>
          <w:ilvl w:val="0"/>
          <w:numId w:val="36"/>
        </w:numPr>
        <w:overflowPunct/>
        <w:autoSpaceDE/>
        <w:autoSpaceDN/>
        <w:adjustRightInd/>
        <w:spacing w:after="200"/>
        <w:rPr>
          <w:rFonts w:cs="Arial"/>
          <w:sz w:val="24"/>
          <w:szCs w:val="24"/>
        </w:rPr>
      </w:pPr>
      <w:r>
        <w:rPr>
          <w:rFonts w:cs="Arial"/>
          <w:sz w:val="24"/>
          <w:szCs w:val="24"/>
        </w:rPr>
        <w:t xml:space="preserve">If the TAA participant is referred to the DW program and then declines co-enrollment services, the DW </w:t>
      </w:r>
      <w:r w:rsidR="00F6209F">
        <w:rPr>
          <w:rFonts w:cs="Arial"/>
          <w:sz w:val="24"/>
          <w:szCs w:val="24"/>
        </w:rPr>
        <w:t>subrecipient staff</w:t>
      </w:r>
      <w:r>
        <w:rPr>
          <w:rFonts w:cs="Arial"/>
          <w:sz w:val="24"/>
          <w:szCs w:val="24"/>
        </w:rPr>
        <w:t xml:space="preserve"> shall document in case notes the TAA participant declined co-enrollment. </w:t>
      </w:r>
    </w:p>
    <w:p w14:paraId="12896E6C" w14:textId="77777777" w:rsidR="008A1DAF" w:rsidRPr="00377F3D" w:rsidRDefault="008A1DAF" w:rsidP="008A1DAF">
      <w:pPr>
        <w:pStyle w:val="ListParagraph"/>
        <w:numPr>
          <w:ilvl w:val="0"/>
          <w:numId w:val="36"/>
        </w:numPr>
        <w:overflowPunct/>
        <w:autoSpaceDE/>
        <w:autoSpaceDN/>
        <w:adjustRightInd/>
        <w:rPr>
          <w:rFonts w:cs="Arial"/>
          <w:b/>
          <w:sz w:val="24"/>
          <w:szCs w:val="24"/>
        </w:rPr>
      </w:pPr>
      <w:r w:rsidRPr="00377F3D">
        <w:rPr>
          <w:rFonts w:cs="Arial"/>
          <w:sz w:val="24"/>
          <w:szCs w:val="24"/>
        </w:rPr>
        <w:t xml:space="preserve">If the TAA participant declines co-enrollment, the participant may request </w:t>
      </w:r>
      <w:r>
        <w:rPr>
          <w:rFonts w:cs="Arial"/>
          <w:sz w:val="24"/>
          <w:szCs w:val="24"/>
        </w:rPr>
        <w:t xml:space="preserve">a </w:t>
      </w:r>
      <w:r w:rsidRPr="00377F3D">
        <w:rPr>
          <w:rFonts w:cs="Arial"/>
          <w:sz w:val="24"/>
          <w:szCs w:val="24"/>
        </w:rPr>
        <w:t xml:space="preserve">referral to the DW program at a later date. </w:t>
      </w:r>
    </w:p>
    <w:p w14:paraId="3D5DD736" w14:textId="77777777" w:rsidR="008A1DAF" w:rsidRPr="00377F3D" w:rsidRDefault="008A1DAF" w:rsidP="008A1DAF">
      <w:pPr>
        <w:pStyle w:val="ListParagraph"/>
        <w:rPr>
          <w:rFonts w:cs="Arial"/>
          <w:b/>
          <w:sz w:val="24"/>
          <w:szCs w:val="24"/>
        </w:rPr>
      </w:pPr>
    </w:p>
    <w:p w14:paraId="54161260" w14:textId="1874D657" w:rsidR="008A1DAF" w:rsidRDefault="008A1DAF" w:rsidP="008A1DAF">
      <w:pPr>
        <w:numPr>
          <w:ilvl w:val="0"/>
          <w:numId w:val="34"/>
        </w:numPr>
        <w:overflowPunct/>
        <w:autoSpaceDE/>
        <w:autoSpaceDN/>
        <w:adjustRightInd/>
        <w:rPr>
          <w:rFonts w:cs="Arial"/>
          <w:b/>
          <w:sz w:val="24"/>
          <w:szCs w:val="24"/>
        </w:rPr>
      </w:pPr>
      <w:r>
        <w:rPr>
          <w:rFonts w:cs="Arial"/>
          <w:b/>
          <w:sz w:val="24"/>
          <w:szCs w:val="24"/>
        </w:rPr>
        <w:t>Referral</w:t>
      </w:r>
      <w:r w:rsidRPr="00D660F4">
        <w:rPr>
          <w:rFonts w:cs="Arial"/>
          <w:b/>
          <w:color w:val="FF0000"/>
          <w:sz w:val="24"/>
          <w:szCs w:val="24"/>
        </w:rPr>
        <w:t xml:space="preserve"> </w:t>
      </w:r>
      <w:r w:rsidRPr="00657E00">
        <w:rPr>
          <w:rFonts w:cs="Arial"/>
          <w:b/>
          <w:sz w:val="24"/>
          <w:szCs w:val="24"/>
        </w:rPr>
        <w:t>Process</w:t>
      </w:r>
      <w:r w:rsidR="00037927" w:rsidRPr="00657E00">
        <w:rPr>
          <w:rFonts w:cs="Arial"/>
          <w:b/>
          <w:sz w:val="24"/>
          <w:szCs w:val="24"/>
        </w:rPr>
        <w:t xml:space="preserve"> (See definition of referral below)</w:t>
      </w:r>
    </w:p>
    <w:p w14:paraId="6DCBCBF5" w14:textId="28EF9BD3" w:rsidR="008A1DAF" w:rsidRDefault="008A1DAF" w:rsidP="008A1DAF">
      <w:pPr>
        <w:pStyle w:val="ListParagraph"/>
        <w:numPr>
          <w:ilvl w:val="0"/>
          <w:numId w:val="37"/>
        </w:numPr>
        <w:overflowPunct/>
        <w:autoSpaceDE/>
        <w:autoSpaceDN/>
        <w:adjustRightInd/>
        <w:rPr>
          <w:rFonts w:cs="Arial"/>
          <w:sz w:val="24"/>
          <w:szCs w:val="24"/>
        </w:rPr>
      </w:pPr>
      <w:r>
        <w:rPr>
          <w:rFonts w:cs="Arial"/>
          <w:sz w:val="24"/>
          <w:szCs w:val="24"/>
        </w:rPr>
        <w:t>Eligibility for TAA may not be known at the time rapid response services are offered.</w:t>
      </w:r>
      <w:r w:rsidR="0089560E">
        <w:rPr>
          <w:rFonts w:cs="Arial"/>
          <w:sz w:val="24"/>
          <w:szCs w:val="24"/>
        </w:rPr>
        <w:t xml:space="preserve"> </w:t>
      </w:r>
      <w:r w:rsidRPr="00CF2750">
        <w:rPr>
          <w:rFonts w:cs="Arial"/>
          <w:sz w:val="24"/>
          <w:szCs w:val="24"/>
        </w:rPr>
        <w:t>Any dislocated worker</w:t>
      </w:r>
      <w:r w:rsidRPr="00B16E61">
        <w:rPr>
          <w:rFonts w:cs="Arial"/>
          <w:color w:val="FF0000"/>
          <w:sz w:val="24"/>
          <w:szCs w:val="24"/>
        </w:rPr>
        <w:t xml:space="preserve"> </w:t>
      </w:r>
      <w:r>
        <w:rPr>
          <w:rFonts w:cs="Arial"/>
          <w:sz w:val="24"/>
          <w:szCs w:val="24"/>
        </w:rPr>
        <w:t>who can benefit from or has requested</w:t>
      </w:r>
      <w:r w:rsidR="004D5538">
        <w:rPr>
          <w:rFonts w:cs="Arial"/>
          <w:sz w:val="24"/>
          <w:szCs w:val="24"/>
        </w:rPr>
        <w:t xml:space="preserve"> </w:t>
      </w:r>
      <w:r>
        <w:rPr>
          <w:rFonts w:cs="Arial"/>
          <w:sz w:val="24"/>
          <w:szCs w:val="24"/>
        </w:rPr>
        <w:t xml:space="preserve">DW program services and is determined eligible should be enrolled while the TAA petition determination is under review. </w:t>
      </w:r>
    </w:p>
    <w:p w14:paraId="3E5C631A" w14:textId="77777777" w:rsidR="008A1DAF" w:rsidRDefault="008A1DAF" w:rsidP="008A1DAF">
      <w:pPr>
        <w:pStyle w:val="ListParagraph"/>
        <w:numPr>
          <w:ilvl w:val="0"/>
          <w:numId w:val="37"/>
        </w:numPr>
        <w:overflowPunct/>
        <w:autoSpaceDE/>
        <w:autoSpaceDN/>
        <w:adjustRightInd/>
        <w:rPr>
          <w:rFonts w:cs="Arial"/>
          <w:sz w:val="24"/>
          <w:szCs w:val="24"/>
        </w:rPr>
      </w:pPr>
      <w:r>
        <w:rPr>
          <w:rFonts w:cs="Arial"/>
          <w:sz w:val="24"/>
          <w:szCs w:val="24"/>
        </w:rPr>
        <w:t>If a customer is found to be TAA eligible and has not been enrolled in DW program services, TAA staff shall make a referral for co-enrollment to the DW program.</w:t>
      </w:r>
    </w:p>
    <w:p w14:paraId="7952A1E7" w14:textId="3C3C2499" w:rsidR="008A1DAF" w:rsidRPr="00DA311D" w:rsidRDefault="008A1DAF" w:rsidP="008A1DAF">
      <w:pPr>
        <w:pStyle w:val="ListParagraph"/>
        <w:numPr>
          <w:ilvl w:val="0"/>
          <w:numId w:val="37"/>
        </w:numPr>
        <w:overflowPunct/>
        <w:autoSpaceDE/>
        <w:autoSpaceDN/>
        <w:adjustRightInd/>
        <w:rPr>
          <w:rFonts w:cs="Arial"/>
          <w:sz w:val="24"/>
          <w:szCs w:val="24"/>
        </w:rPr>
      </w:pPr>
      <w:r>
        <w:rPr>
          <w:rFonts w:cs="Arial"/>
          <w:sz w:val="24"/>
          <w:szCs w:val="24"/>
        </w:rPr>
        <w:t>T</w:t>
      </w:r>
      <w:r w:rsidRPr="002A37EE">
        <w:rPr>
          <w:rFonts w:cs="Arial"/>
          <w:sz w:val="24"/>
          <w:szCs w:val="24"/>
        </w:rPr>
        <w:t xml:space="preserve">AA staff shall </w:t>
      </w:r>
      <w:r>
        <w:rPr>
          <w:rFonts w:cs="Arial"/>
          <w:sz w:val="24"/>
          <w:szCs w:val="24"/>
        </w:rPr>
        <w:t xml:space="preserve">provide participant information via </w:t>
      </w:r>
      <w:r w:rsidRPr="00261061">
        <w:rPr>
          <w:rFonts w:cs="Arial"/>
          <w:sz w:val="24"/>
          <w:szCs w:val="24"/>
        </w:rPr>
        <w:t xml:space="preserve">a TAA </w:t>
      </w:r>
      <w:r w:rsidRPr="004D7136">
        <w:rPr>
          <w:rFonts w:cs="Arial"/>
          <w:sz w:val="24"/>
          <w:szCs w:val="24"/>
        </w:rPr>
        <w:t>Jot Form</w:t>
      </w:r>
      <w:r w:rsidRPr="00261061">
        <w:rPr>
          <w:rFonts w:cs="Arial"/>
          <w:sz w:val="24"/>
          <w:szCs w:val="24"/>
        </w:rPr>
        <w:t xml:space="preserve"> referral to the DW </w:t>
      </w:r>
      <w:r w:rsidR="008E3BD1">
        <w:rPr>
          <w:rFonts w:cs="Arial"/>
          <w:sz w:val="24"/>
          <w:szCs w:val="24"/>
        </w:rPr>
        <w:t>Subrecipient</w:t>
      </w:r>
      <w:r w:rsidR="008E3BD1" w:rsidRPr="00261061">
        <w:rPr>
          <w:rFonts w:cs="Arial"/>
          <w:sz w:val="24"/>
          <w:szCs w:val="24"/>
        </w:rPr>
        <w:t xml:space="preserve"> </w:t>
      </w:r>
      <w:r w:rsidRPr="00DA311D">
        <w:rPr>
          <w:rFonts w:cs="Arial"/>
          <w:sz w:val="24"/>
          <w:szCs w:val="24"/>
        </w:rPr>
        <w:t xml:space="preserve">Manager </w:t>
      </w:r>
      <w:r w:rsidR="0014282F" w:rsidRPr="00DA311D">
        <w:rPr>
          <w:rFonts w:cs="Arial"/>
          <w:sz w:val="24"/>
          <w:szCs w:val="24"/>
        </w:rPr>
        <w:t>or</w:t>
      </w:r>
      <w:r w:rsidRPr="00DA311D">
        <w:rPr>
          <w:rFonts w:cs="Arial"/>
          <w:sz w:val="24"/>
          <w:szCs w:val="24"/>
        </w:rPr>
        <w:t xml:space="preserve"> </w:t>
      </w:r>
      <w:r w:rsidR="008E3BD1" w:rsidRPr="00DA311D">
        <w:rPr>
          <w:rFonts w:cs="Arial"/>
          <w:sz w:val="24"/>
          <w:szCs w:val="24"/>
        </w:rPr>
        <w:t xml:space="preserve">a </w:t>
      </w:r>
      <w:r w:rsidRPr="00DA311D">
        <w:rPr>
          <w:rFonts w:cs="Arial"/>
          <w:sz w:val="24"/>
          <w:szCs w:val="24"/>
        </w:rPr>
        <w:t>follow-up email.</w:t>
      </w:r>
      <w:r w:rsidR="00F832D7" w:rsidRPr="00DA311D">
        <w:rPr>
          <w:rFonts w:cs="Arial"/>
          <w:sz w:val="24"/>
          <w:szCs w:val="24"/>
        </w:rPr>
        <w:t xml:space="preserve"> </w:t>
      </w:r>
      <w:r w:rsidRPr="00DA311D">
        <w:rPr>
          <w:rFonts w:cs="Arial"/>
          <w:sz w:val="24"/>
          <w:szCs w:val="24"/>
        </w:rPr>
        <w:t xml:space="preserve">The DW </w:t>
      </w:r>
      <w:r w:rsidR="008E3BD1" w:rsidRPr="00DA311D">
        <w:rPr>
          <w:rFonts w:cs="Arial"/>
          <w:sz w:val="24"/>
          <w:szCs w:val="24"/>
        </w:rPr>
        <w:t xml:space="preserve">Subrecipient </w:t>
      </w:r>
      <w:r w:rsidRPr="00DA311D">
        <w:rPr>
          <w:rFonts w:cs="Arial"/>
          <w:sz w:val="24"/>
          <w:szCs w:val="24"/>
        </w:rPr>
        <w:t>Manager shall assign DW</w:t>
      </w:r>
      <w:r w:rsidR="008E3BD1" w:rsidRPr="00DA311D">
        <w:rPr>
          <w:rFonts w:cs="Arial"/>
          <w:sz w:val="24"/>
          <w:szCs w:val="24"/>
        </w:rPr>
        <w:t xml:space="preserve"> subrecipient</w:t>
      </w:r>
      <w:r w:rsidRPr="00DA311D">
        <w:rPr>
          <w:rFonts w:cs="Arial"/>
          <w:sz w:val="24"/>
          <w:szCs w:val="24"/>
        </w:rPr>
        <w:t xml:space="preserve"> staff to contact the TAA participant. </w:t>
      </w:r>
      <w:r w:rsidR="001F48FC" w:rsidRPr="00DA311D">
        <w:rPr>
          <w:rFonts w:cs="Arial"/>
          <w:sz w:val="24"/>
          <w:szCs w:val="24"/>
        </w:rPr>
        <w:t>DW program staff shall use c</w:t>
      </w:r>
      <w:r w:rsidR="00B71654" w:rsidRPr="00DA311D">
        <w:rPr>
          <w:rFonts w:cs="Arial"/>
          <w:sz w:val="24"/>
          <w:szCs w:val="24"/>
        </w:rPr>
        <w:t xml:space="preserve">ase notes </w:t>
      </w:r>
      <w:r w:rsidR="001F48FC" w:rsidRPr="00DA311D">
        <w:rPr>
          <w:rFonts w:cs="Arial"/>
          <w:sz w:val="24"/>
          <w:szCs w:val="24"/>
        </w:rPr>
        <w:t>to</w:t>
      </w:r>
      <w:r w:rsidR="00B71654" w:rsidRPr="00DA311D">
        <w:rPr>
          <w:rFonts w:cs="Arial"/>
          <w:sz w:val="24"/>
          <w:szCs w:val="24"/>
        </w:rPr>
        <w:t xml:space="preserve"> inform TAA staff of the enrollment or declination of TAA participants into the DW Program. </w:t>
      </w:r>
    </w:p>
    <w:p w14:paraId="721A035E" w14:textId="72F91B23" w:rsidR="008A1DAF" w:rsidRPr="00DA311D" w:rsidRDefault="008A1DAF" w:rsidP="008A1DAF">
      <w:pPr>
        <w:pStyle w:val="ListParagraph"/>
      </w:pPr>
    </w:p>
    <w:p w14:paraId="6B000F14" w14:textId="77777777" w:rsidR="008A1DAF" w:rsidRDefault="008A1DAF" w:rsidP="008A1DAF">
      <w:pPr>
        <w:numPr>
          <w:ilvl w:val="0"/>
          <w:numId w:val="34"/>
        </w:numPr>
        <w:overflowPunct/>
        <w:autoSpaceDE/>
        <w:autoSpaceDN/>
        <w:adjustRightInd/>
        <w:rPr>
          <w:rFonts w:cs="Arial"/>
          <w:b/>
          <w:sz w:val="24"/>
          <w:szCs w:val="24"/>
        </w:rPr>
      </w:pPr>
      <w:r>
        <w:rPr>
          <w:rFonts w:cs="Arial"/>
          <w:b/>
          <w:sz w:val="24"/>
          <w:szCs w:val="24"/>
        </w:rPr>
        <w:t xml:space="preserve">Enrollment into the DW Program </w:t>
      </w:r>
    </w:p>
    <w:p w14:paraId="7C4F5BB0" w14:textId="5E492026" w:rsidR="008A1DAF" w:rsidRDefault="008A1DAF" w:rsidP="008A1DAF">
      <w:pPr>
        <w:pStyle w:val="ListParagraph"/>
        <w:overflowPunct/>
        <w:autoSpaceDE/>
        <w:autoSpaceDN/>
        <w:adjustRightInd/>
        <w:rPr>
          <w:rFonts w:cs="Arial"/>
          <w:sz w:val="24"/>
          <w:szCs w:val="24"/>
        </w:rPr>
      </w:pPr>
      <w:r w:rsidRPr="00903857">
        <w:rPr>
          <w:rFonts w:cs="Arial"/>
          <w:sz w:val="24"/>
          <w:szCs w:val="24"/>
        </w:rPr>
        <w:t xml:space="preserve">DW </w:t>
      </w:r>
      <w:r w:rsidR="008E3BD1" w:rsidRPr="008625CE">
        <w:rPr>
          <w:rFonts w:cs="Arial"/>
          <w:sz w:val="24"/>
          <w:szCs w:val="24"/>
        </w:rPr>
        <w:t xml:space="preserve">subrecipient </w:t>
      </w:r>
      <w:r w:rsidRPr="008625CE">
        <w:rPr>
          <w:rFonts w:cs="Arial"/>
          <w:sz w:val="24"/>
          <w:szCs w:val="24"/>
        </w:rPr>
        <w:t>staff shall contact</w:t>
      </w:r>
      <w:r w:rsidRPr="00903857">
        <w:rPr>
          <w:rFonts w:cs="Arial"/>
          <w:sz w:val="24"/>
          <w:szCs w:val="24"/>
        </w:rPr>
        <w:t xml:space="preserve"> the participant to determine eligibility and offer co-enrollment services within </w:t>
      </w:r>
      <w:r w:rsidR="00903857" w:rsidRPr="00903857">
        <w:rPr>
          <w:rFonts w:cs="Arial"/>
          <w:sz w:val="24"/>
          <w:szCs w:val="24"/>
        </w:rPr>
        <w:t>five (</w:t>
      </w:r>
      <w:r w:rsidRPr="00903857">
        <w:rPr>
          <w:rFonts w:cs="Arial"/>
          <w:sz w:val="24"/>
          <w:szCs w:val="24"/>
        </w:rPr>
        <w:t>5</w:t>
      </w:r>
      <w:r w:rsidR="00903857" w:rsidRPr="00903857">
        <w:rPr>
          <w:rFonts w:cs="Arial"/>
          <w:sz w:val="24"/>
          <w:szCs w:val="24"/>
        </w:rPr>
        <w:t>)</w:t>
      </w:r>
      <w:r w:rsidRPr="00903857">
        <w:rPr>
          <w:rFonts w:cs="Arial"/>
          <w:sz w:val="24"/>
          <w:szCs w:val="24"/>
        </w:rPr>
        <w:t xml:space="preserve"> business days of receiving the referral.</w:t>
      </w:r>
      <w:r w:rsidR="0089560E" w:rsidRPr="00903857">
        <w:rPr>
          <w:rFonts w:cs="Arial"/>
          <w:sz w:val="24"/>
          <w:szCs w:val="24"/>
        </w:rPr>
        <w:t xml:space="preserve"> </w:t>
      </w:r>
      <w:r w:rsidRPr="00903857">
        <w:rPr>
          <w:rFonts w:cs="Arial"/>
          <w:sz w:val="24"/>
          <w:szCs w:val="24"/>
        </w:rPr>
        <w:t xml:space="preserve">DW </w:t>
      </w:r>
      <w:r w:rsidR="00903857">
        <w:rPr>
          <w:rFonts w:cs="Arial"/>
          <w:sz w:val="24"/>
          <w:szCs w:val="24"/>
        </w:rPr>
        <w:t xml:space="preserve">subrecipient </w:t>
      </w:r>
      <w:r w:rsidRPr="00903857">
        <w:rPr>
          <w:rFonts w:cs="Arial"/>
          <w:sz w:val="24"/>
          <w:szCs w:val="24"/>
        </w:rPr>
        <w:t xml:space="preserve">staff </w:t>
      </w:r>
      <w:r>
        <w:rPr>
          <w:rFonts w:cs="Arial"/>
          <w:sz w:val="24"/>
          <w:szCs w:val="24"/>
        </w:rPr>
        <w:t>shall</w:t>
      </w:r>
      <w:r w:rsidRPr="002D19F7">
        <w:rPr>
          <w:rFonts w:cs="Arial"/>
          <w:sz w:val="24"/>
          <w:szCs w:val="24"/>
        </w:rPr>
        <w:t xml:space="preserve"> case </w:t>
      </w:r>
      <w:r>
        <w:rPr>
          <w:rFonts w:cs="Arial"/>
          <w:sz w:val="24"/>
          <w:szCs w:val="24"/>
        </w:rPr>
        <w:t xml:space="preserve">note </w:t>
      </w:r>
      <w:r w:rsidRPr="002D19F7">
        <w:rPr>
          <w:rFonts w:cs="Arial"/>
          <w:sz w:val="24"/>
          <w:szCs w:val="24"/>
        </w:rPr>
        <w:t>in the</w:t>
      </w:r>
      <w:r w:rsidR="00903857">
        <w:rPr>
          <w:rFonts w:cs="Arial"/>
          <w:sz w:val="24"/>
          <w:szCs w:val="24"/>
        </w:rPr>
        <w:t xml:space="preserve"> </w:t>
      </w:r>
      <w:r w:rsidR="008625CE">
        <w:rPr>
          <w:rFonts w:cs="Arial"/>
          <w:sz w:val="24"/>
          <w:szCs w:val="24"/>
        </w:rPr>
        <w:t>s</w:t>
      </w:r>
      <w:r w:rsidR="00903857">
        <w:rPr>
          <w:rFonts w:cs="Arial"/>
          <w:sz w:val="24"/>
          <w:szCs w:val="24"/>
        </w:rPr>
        <w:t>tate</w:t>
      </w:r>
      <w:r w:rsidRPr="002D19F7">
        <w:rPr>
          <w:rFonts w:cs="Arial"/>
          <w:sz w:val="24"/>
          <w:szCs w:val="24"/>
        </w:rPr>
        <w:t xml:space="preserve"> </w:t>
      </w:r>
      <w:r>
        <w:rPr>
          <w:rFonts w:cs="Arial"/>
          <w:sz w:val="24"/>
          <w:szCs w:val="24"/>
        </w:rPr>
        <w:t>Management Information System (</w:t>
      </w:r>
      <w:r w:rsidRPr="002D19F7">
        <w:rPr>
          <w:rFonts w:cs="Arial"/>
          <w:sz w:val="24"/>
          <w:szCs w:val="24"/>
        </w:rPr>
        <w:t>MIS</w:t>
      </w:r>
      <w:r>
        <w:rPr>
          <w:rFonts w:cs="Arial"/>
          <w:sz w:val="24"/>
          <w:szCs w:val="24"/>
        </w:rPr>
        <w:t>)</w:t>
      </w:r>
      <w:r w:rsidRPr="002D19F7">
        <w:rPr>
          <w:rFonts w:cs="Arial"/>
          <w:sz w:val="24"/>
          <w:szCs w:val="24"/>
        </w:rPr>
        <w:t xml:space="preserve"> </w:t>
      </w:r>
      <w:r>
        <w:rPr>
          <w:rFonts w:cs="Arial"/>
          <w:sz w:val="24"/>
          <w:szCs w:val="24"/>
        </w:rPr>
        <w:t>all</w:t>
      </w:r>
      <w:r w:rsidRPr="002D19F7">
        <w:rPr>
          <w:rFonts w:cs="Arial"/>
          <w:sz w:val="24"/>
          <w:szCs w:val="24"/>
        </w:rPr>
        <w:t xml:space="preserve"> outreach attempts </w:t>
      </w:r>
      <w:r>
        <w:rPr>
          <w:rFonts w:cs="Arial"/>
          <w:sz w:val="24"/>
          <w:szCs w:val="24"/>
        </w:rPr>
        <w:t xml:space="preserve">that </w:t>
      </w:r>
      <w:r w:rsidRPr="002D19F7">
        <w:rPr>
          <w:rFonts w:cs="Arial"/>
          <w:sz w:val="24"/>
          <w:szCs w:val="24"/>
        </w:rPr>
        <w:t xml:space="preserve">do not result in a successful connection with the TAA participant. </w:t>
      </w:r>
    </w:p>
    <w:p w14:paraId="5DFDF10B" w14:textId="7DA4501A" w:rsidR="008A1DAF" w:rsidRPr="002D19F7" w:rsidRDefault="008A1DAF" w:rsidP="008A1DAF">
      <w:pPr>
        <w:pStyle w:val="ListParagraph"/>
        <w:keepNext/>
        <w:numPr>
          <w:ilvl w:val="0"/>
          <w:numId w:val="38"/>
        </w:numPr>
        <w:overflowPunct/>
        <w:autoSpaceDE/>
        <w:autoSpaceDN/>
        <w:adjustRightInd/>
        <w:contextualSpacing w:val="0"/>
        <w:rPr>
          <w:rFonts w:cs="Arial"/>
          <w:sz w:val="24"/>
          <w:szCs w:val="24"/>
        </w:rPr>
      </w:pPr>
      <w:r w:rsidRPr="002D19F7">
        <w:rPr>
          <w:rFonts w:cs="Arial"/>
          <w:sz w:val="24"/>
          <w:szCs w:val="24"/>
        </w:rPr>
        <w:lastRenderedPageBreak/>
        <w:t>I</w:t>
      </w:r>
      <w:r>
        <w:rPr>
          <w:rFonts w:cs="Arial"/>
          <w:sz w:val="24"/>
          <w:szCs w:val="24"/>
        </w:rPr>
        <w:t>f</w:t>
      </w:r>
      <w:r w:rsidRPr="002D19F7">
        <w:rPr>
          <w:rFonts w:cs="Arial"/>
          <w:sz w:val="24"/>
          <w:szCs w:val="24"/>
        </w:rPr>
        <w:t xml:space="preserve"> the TAA participant is no longer interested in </w:t>
      </w:r>
      <w:r>
        <w:rPr>
          <w:rFonts w:cs="Arial"/>
          <w:sz w:val="24"/>
          <w:szCs w:val="24"/>
        </w:rPr>
        <w:t>DW program</w:t>
      </w:r>
      <w:r w:rsidRPr="002D19F7">
        <w:rPr>
          <w:rFonts w:cs="Arial"/>
          <w:sz w:val="24"/>
          <w:szCs w:val="24"/>
        </w:rPr>
        <w:t xml:space="preserve"> enrollment when a connection is made, </w:t>
      </w:r>
      <w:r>
        <w:rPr>
          <w:rFonts w:cs="Arial"/>
          <w:sz w:val="24"/>
          <w:szCs w:val="24"/>
        </w:rPr>
        <w:t>DW</w:t>
      </w:r>
      <w:r w:rsidRPr="002D19F7">
        <w:rPr>
          <w:rFonts w:cs="Arial"/>
          <w:sz w:val="24"/>
          <w:szCs w:val="24"/>
        </w:rPr>
        <w:t xml:space="preserve"> </w:t>
      </w:r>
      <w:r w:rsidR="00903857">
        <w:rPr>
          <w:rFonts w:cs="Arial"/>
          <w:sz w:val="24"/>
          <w:szCs w:val="24"/>
        </w:rPr>
        <w:t xml:space="preserve">subrecipient </w:t>
      </w:r>
      <w:r w:rsidRPr="002D19F7">
        <w:rPr>
          <w:rFonts w:cs="Arial"/>
          <w:sz w:val="24"/>
          <w:szCs w:val="24"/>
        </w:rPr>
        <w:t xml:space="preserve">staff </w:t>
      </w:r>
      <w:r>
        <w:rPr>
          <w:rFonts w:cs="Arial"/>
          <w:sz w:val="24"/>
          <w:szCs w:val="24"/>
        </w:rPr>
        <w:t xml:space="preserve">shall </w:t>
      </w:r>
      <w:r w:rsidRPr="002D19F7">
        <w:rPr>
          <w:rFonts w:cs="Arial"/>
          <w:sz w:val="24"/>
          <w:szCs w:val="24"/>
        </w:rPr>
        <w:t>case note the</w:t>
      </w:r>
      <w:r>
        <w:rPr>
          <w:rFonts w:cs="Arial"/>
          <w:sz w:val="24"/>
          <w:szCs w:val="24"/>
        </w:rPr>
        <w:t>ir</w:t>
      </w:r>
      <w:r w:rsidRPr="002D19F7">
        <w:rPr>
          <w:rFonts w:cs="Arial"/>
          <w:sz w:val="24"/>
          <w:szCs w:val="24"/>
        </w:rPr>
        <w:t xml:space="preserve"> de</w:t>
      </w:r>
      <w:r>
        <w:rPr>
          <w:rFonts w:cs="Arial"/>
          <w:sz w:val="24"/>
          <w:szCs w:val="24"/>
        </w:rPr>
        <w:t>sire to decline</w:t>
      </w:r>
      <w:r w:rsidRPr="002D19F7">
        <w:rPr>
          <w:rFonts w:cs="Arial"/>
          <w:sz w:val="24"/>
          <w:szCs w:val="24"/>
        </w:rPr>
        <w:t xml:space="preserve"> </w:t>
      </w:r>
      <w:r>
        <w:rPr>
          <w:rFonts w:cs="Arial"/>
          <w:sz w:val="24"/>
          <w:szCs w:val="24"/>
        </w:rPr>
        <w:t>co-enrollment.</w:t>
      </w:r>
      <w:r w:rsidRPr="002D19F7">
        <w:rPr>
          <w:rFonts w:cs="Arial"/>
          <w:sz w:val="24"/>
          <w:szCs w:val="24"/>
        </w:rPr>
        <w:t xml:space="preserve"> </w:t>
      </w:r>
      <w:r>
        <w:rPr>
          <w:rFonts w:cs="Arial"/>
          <w:sz w:val="24"/>
          <w:szCs w:val="24"/>
        </w:rPr>
        <w:t xml:space="preserve">DW </w:t>
      </w:r>
      <w:r w:rsidR="008625CE">
        <w:rPr>
          <w:rFonts w:cs="Arial"/>
          <w:sz w:val="24"/>
          <w:szCs w:val="24"/>
        </w:rPr>
        <w:t xml:space="preserve">subrecipient </w:t>
      </w:r>
      <w:r>
        <w:rPr>
          <w:rFonts w:cs="Arial"/>
          <w:sz w:val="24"/>
          <w:szCs w:val="24"/>
        </w:rPr>
        <w:t>staff shall</w:t>
      </w:r>
      <w:r w:rsidRPr="002D19F7">
        <w:rPr>
          <w:rFonts w:cs="Arial"/>
          <w:sz w:val="24"/>
          <w:szCs w:val="24"/>
        </w:rPr>
        <w:t xml:space="preserve"> inform the TAA participant that they may, if eligible, enroll </w:t>
      </w:r>
      <w:r>
        <w:rPr>
          <w:rFonts w:cs="Arial"/>
          <w:sz w:val="24"/>
          <w:szCs w:val="24"/>
        </w:rPr>
        <w:t>at a later date.</w:t>
      </w:r>
      <w:r w:rsidRPr="002D19F7">
        <w:rPr>
          <w:rFonts w:cs="Arial"/>
          <w:sz w:val="24"/>
          <w:szCs w:val="24"/>
        </w:rPr>
        <w:t xml:space="preserve"> </w:t>
      </w:r>
    </w:p>
    <w:p w14:paraId="721508A3" w14:textId="29AD8511" w:rsidR="008A1DAF" w:rsidRPr="00056B16" w:rsidRDefault="008A1DAF" w:rsidP="008A1DAF">
      <w:pPr>
        <w:pStyle w:val="ListParagraph"/>
        <w:keepNext/>
        <w:numPr>
          <w:ilvl w:val="0"/>
          <w:numId w:val="38"/>
        </w:numPr>
        <w:overflowPunct/>
        <w:autoSpaceDE/>
        <w:autoSpaceDN/>
        <w:adjustRightInd/>
        <w:contextualSpacing w:val="0"/>
        <w:rPr>
          <w:rFonts w:cs="Arial"/>
          <w:sz w:val="24"/>
          <w:szCs w:val="24"/>
        </w:rPr>
      </w:pPr>
      <w:r w:rsidRPr="00056B16">
        <w:rPr>
          <w:rFonts w:cs="Arial"/>
          <w:sz w:val="24"/>
          <w:szCs w:val="24"/>
        </w:rPr>
        <w:t xml:space="preserve">Co-enrollment should occur within </w:t>
      </w:r>
      <w:r w:rsidR="00A0016A">
        <w:rPr>
          <w:rFonts w:cs="Arial"/>
          <w:sz w:val="24"/>
          <w:szCs w:val="24"/>
        </w:rPr>
        <w:t>ten (</w:t>
      </w:r>
      <w:r w:rsidRPr="00056B16">
        <w:rPr>
          <w:rFonts w:cs="Arial"/>
          <w:sz w:val="24"/>
          <w:szCs w:val="24"/>
        </w:rPr>
        <w:t>10</w:t>
      </w:r>
      <w:r w:rsidR="00A0016A">
        <w:rPr>
          <w:rFonts w:cs="Arial"/>
          <w:sz w:val="24"/>
          <w:szCs w:val="24"/>
        </w:rPr>
        <w:t>)</w:t>
      </w:r>
      <w:r w:rsidRPr="00056B16">
        <w:rPr>
          <w:rFonts w:cs="Arial"/>
          <w:sz w:val="24"/>
          <w:szCs w:val="24"/>
        </w:rPr>
        <w:t xml:space="preserve"> business days of the completed eligibility determination or upon the delivery of a service that triggers participation in the DW Program. </w:t>
      </w:r>
    </w:p>
    <w:p w14:paraId="2BF946A8" w14:textId="77777777" w:rsidR="008A1DAF" w:rsidRPr="00DA060B" w:rsidRDefault="008A1DAF" w:rsidP="008A1DAF">
      <w:pPr>
        <w:pStyle w:val="ListParagraph"/>
        <w:keepNext/>
        <w:numPr>
          <w:ilvl w:val="0"/>
          <w:numId w:val="38"/>
        </w:numPr>
        <w:overflowPunct/>
        <w:autoSpaceDE/>
        <w:autoSpaceDN/>
        <w:adjustRightInd/>
        <w:rPr>
          <w:rFonts w:cs="Arial"/>
          <w:b/>
          <w:sz w:val="24"/>
          <w:szCs w:val="24"/>
        </w:rPr>
      </w:pPr>
      <w:r w:rsidRPr="00DA060B">
        <w:rPr>
          <w:rFonts w:cs="Arial"/>
          <w:sz w:val="24"/>
          <w:szCs w:val="24"/>
        </w:rPr>
        <w:t xml:space="preserve">It is expected that once </w:t>
      </w:r>
      <w:r>
        <w:rPr>
          <w:rFonts w:cs="Arial"/>
          <w:sz w:val="24"/>
          <w:szCs w:val="24"/>
        </w:rPr>
        <w:t>the</w:t>
      </w:r>
      <w:r w:rsidRPr="00DA060B">
        <w:rPr>
          <w:rFonts w:cs="Arial"/>
          <w:sz w:val="24"/>
          <w:szCs w:val="24"/>
        </w:rPr>
        <w:t xml:space="preserve"> DW eligibility determination has been completed, the TAA participant retains their eligibility status for DW through the duration of TAA program participation unless the TAA participant obtains permanent employment at 80% of their job of dislocation.</w:t>
      </w:r>
    </w:p>
    <w:p w14:paraId="1518752C" w14:textId="77777777" w:rsidR="008A1DAF" w:rsidRPr="00DA060B" w:rsidRDefault="008A1DAF" w:rsidP="008A1DAF">
      <w:pPr>
        <w:pStyle w:val="ListParagraph"/>
        <w:keepNext/>
        <w:rPr>
          <w:rFonts w:cs="Arial"/>
          <w:b/>
          <w:sz w:val="24"/>
          <w:szCs w:val="24"/>
        </w:rPr>
      </w:pPr>
    </w:p>
    <w:p w14:paraId="6653E02A" w14:textId="77777777" w:rsidR="008A1DAF" w:rsidRDefault="008A1DAF" w:rsidP="008A1DAF">
      <w:pPr>
        <w:numPr>
          <w:ilvl w:val="0"/>
          <w:numId w:val="34"/>
        </w:numPr>
        <w:overflowPunct/>
        <w:autoSpaceDE/>
        <w:autoSpaceDN/>
        <w:adjustRightInd/>
        <w:rPr>
          <w:rFonts w:cs="Arial"/>
          <w:b/>
          <w:sz w:val="24"/>
          <w:szCs w:val="24"/>
        </w:rPr>
      </w:pPr>
      <w:r>
        <w:rPr>
          <w:rFonts w:cs="Arial"/>
          <w:b/>
          <w:sz w:val="24"/>
          <w:szCs w:val="24"/>
        </w:rPr>
        <w:t>Coordinated Services and Case Management</w:t>
      </w:r>
    </w:p>
    <w:p w14:paraId="3ACB9A87" w14:textId="489984AB" w:rsidR="008A1DAF" w:rsidRPr="00A9062A" w:rsidRDefault="008A1DAF" w:rsidP="008A1DAF">
      <w:pPr>
        <w:pStyle w:val="ListParagraph"/>
        <w:numPr>
          <w:ilvl w:val="0"/>
          <w:numId w:val="39"/>
        </w:numPr>
        <w:overflowPunct/>
        <w:autoSpaceDE/>
        <w:autoSpaceDN/>
        <w:adjustRightInd/>
        <w:rPr>
          <w:rFonts w:cs="Arial"/>
          <w:bCs/>
          <w:sz w:val="24"/>
          <w:szCs w:val="24"/>
        </w:rPr>
      </w:pPr>
      <w:r w:rsidRPr="00A9062A">
        <w:rPr>
          <w:rFonts w:cs="Arial"/>
          <w:sz w:val="24"/>
          <w:szCs w:val="24"/>
        </w:rPr>
        <w:t xml:space="preserve">TAA and DW </w:t>
      </w:r>
      <w:r w:rsidR="008625CE">
        <w:rPr>
          <w:rFonts w:cs="Arial"/>
          <w:sz w:val="24"/>
          <w:szCs w:val="24"/>
        </w:rPr>
        <w:t xml:space="preserve">subrecipient </w:t>
      </w:r>
      <w:r w:rsidRPr="00A9062A">
        <w:rPr>
          <w:rFonts w:cs="Arial"/>
          <w:sz w:val="24"/>
          <w:szCs w:val="24"/>
        </w:rPr>
        <w:t xml:space="preserve">staff </w:t>
      </w:r>
      <w:r>
        <w:rPr>
          <w:rFonts w:cs="Arial"/>
          <w:sz w:val="24"/>
          <w:szCs w:val="24"/>
        </w:rPr>
        <w:t xml:space="preserve">can </w:t>
      </w:r>
      <w:r w:rsidRPr="00A9062A">
        <w:rPr>
          <w:rFonts w:cs="Arial"/>
          <w:sz w:val="24"/>
          <w:szCs w:val="24"/>
        </w:rPr>
        <w:t xml:space="preserve">share assessments </w:t>
      </w:r>
      <w:r w:rsidR="008625CE">
        <w:rPr>
          <w:rFonts w:cs="Arial"/>
          <w:sz w:val="24"/>
          <w:szCs w:val="24"/>
        </w:rPr>
        <w:t xml:space="preserve">results </w:t>
      </w:r>
      <w:r>
        <w:rPr>
          <w:rFonts w:cs="Arial"/>
          <w:sz w:val="24"/>
          <w:szCs w:val="24"/>
        </w:rPr>
        <w:t>recorded in</w:t>
      </w:r>
      <w:r w:rsidRPr="00A9062A">
        <w:rPr>
          <w:rFonts w:cs="Arial"/>
          <w:sz w:val="24"/>
          <w:szCs w:val="24"/>
        </w:rPr>
        <w:t xml:space="preserve"> the s</w:t>
      </w:r>
      <w:r>
        <w:rPr>
          <w:rFonts w:cs="Arial"/>
          <w:sz w:val="24"/>
          <w:szCs w:val="24"/>
        </w:rPr>
        <w:t>tate MIS</w:t>
      </w:r>
      <w:r w:rsidRPr="00A9062A">
        <w:rPr>
          <w:rFonts w:cs="Arial"/>
          <w:sz w:val="24"/>
          <w:szCs w:val="24"/>
        </w:rPr>
        <w:t>.</w:t>
      </w:r>
    </w:p>
    <w:p w14:paraId="2FF3FCC5" w14:textId="7B704AC8" w:rsidR="008A1DAF" w:rsidRPr="00A94476" w:rsidRDefault="008A1DAF" w:rsidP="008A1DAF">
      <w:pPr>
        <w:pStyle w:val="ListParagraph"/>
        <w:numPr>
          <w:ilvl w:val="0"/>
          <w:numId w:val="39"/>
        </w:numPr>
        <w:overflowPunct/>
        <w:autoSpaceDE/>
        <w:autoSpaceDN/>
        <w:adjustRightInd/>
        <w:rPr>
          <w:rFonts w:cs="Arial"/>
          <w:bCs/>
          <w:color w:val="FF0000"/>
          <w:sz w:val="24"/>
          <w:szCs w:val="24"/>
        </w:rPr>
      </w:pPr>
      <w:r w:rsidRPr="00C50DFB">
        <w:rPr>
          <w:rFonts w:cs="Arial"/>
          <w:sz w:val="24"/>
          <w:szCs w:val="24"/>
        </w:rPr>
        <w:t>The primary purpose of co-enrollment with DW is to promote access to DW program services, including career guidance services, individualized occupational exploration, how to conduct labor market research, exploration of training options, training readiness, participation in job clubs</w:t>
      </w:r>
      <w:r w:rsidR="008625CE">
        <w:rPr>
          <w:rFonts w:cs="Arial"/>
          <w:sz w:val="24"/>
          <w:szCs w:val="24"/>
        </w:rPr>
        <w:t>,</w:t>
      </w:r>
      <w:r w:rsidRPr="00C50DFB">
        <w:rPr>
          <w:rFonts w:cs="Arial"/>
          <w:sz w:val="24"/>
          <w:szCs w:val="24"/>
        </w:rPr>
        <w:t xml:space="preserve"> workshops</w:t>
      </w:r>
      <w:r w:rsidR="006D77B4">
        <w:rPr>
          <w:rFonts w:cs="Arial"/>
          <w:sz w:val="24"/>
          <w:szCs w:val="24"/>
        </w:rPr>
        <w:t xml:space="preserve">, </w:t>
      </w:r>
      <w:r w:rsidRPr="00C50DFB">
        <w:rPr>
          <w:rFonts w:cs="Arial"/>
          <w:sz w:val="24"/>
          <w:szCs w:val="24"/>
        </w:rPr>
        <w:t xml:space="preserve">and </w:t>
      </w:r>
      <w:r>
        <w:rPr>
          <w:rFonts w:cs="Arial"/>
          <w:sz w:val="24"/>
          <w:szCs w:val="24"/>
        </w:rPr>
        <w:t xml:space="preserve">the </w:t>
      </w:r>
      <w:r w:rsidRPr="00C50DFB">
        <w:rPr>
          <w:rFonts w:cs="Arial"/>
          <w:sz w:val="24"/>
          <w:szCs w:val="24"/>
        </w:rPr>
        <w:t>provision of follow-up services.</w:t>
      </w:r>
      <w:r>
        <w:rPr>
          <w:rFonts w:cs="Arial"/>
          <w:sz w:val="24"/>
          <w:szCs w:val="24"/>
        </w:rPr>
        <w:t xml:space="preserve"> </w:t>
      </w:r>
    </w:p>
    <w:p w14:paraId="3E34CF3C" w14:textId="77777777" w:rsidR="008A1DAF" w:rsidRPr="00B678B6" w:rsidRDefault="008A1DAF" w:rsidP="008A1DAF">
      <w:pPr>
        <w:pStyle w:val="ListParagraph"/>
        <w:numPr>
          <w:ilvl w:val="0"/>
          <w:numId w:val="39"/>
        </w:numPr>
        <w:overflowPunct/>
        <w:autoSpaceDE/>
        <w:autoSpaceDN/>
        <w:adjustRightInd/>
        <w:rPr>
          <w:rFonts w:cs="Arial"/>
          <w:bCs/>
          <w:sz w:val="24"/>
          <w:szCs w:val="24"/>
        </w:rPr>
      </w:pPr>
      <w:r w:rsidRPr="00B678B6">
        <w:rPr>
          <w:rFonts w:cs="Arial"/>
          <w:bCs/>
          <w:sz w:val="24"/>
          <w:szCs w:val="24"/>
        </w:rPr>
        <w:t xml:space="preserve">TAA services </w:t>
      </w:r>
      <w:r>
        <w:rPr>
          <w:rFonts w:cs="Arial"/>
          <w:bCs/>
          <w:sz w:val="24"/>
          <w:szCs w:val="24"/>
        </w:rPr>
        <w:t xml:space="preserve">shall </w:t>
      </w:r>
      <w:r w:rsidRPr="00B678B6">
        <w:rPr>
          <w:rFonts w:cs="Arial"/>
          <w:bCs/>
          <w:sz w:val="24"/>
          <w:szCs w:val="24"/>
        </w:rPr>
        <w:t xml:space="preserve">be considered the first dollar resource for allowable training and individualized program services. </w:t>
      </w:r>
      <w:r w:rsidRPr="00B678B6">
        <w:rPr>
          <w:rFonts w:cs="Arial"/>
          <w:sz w:val="24"/>
          <w:szCs w:val="24"/>
        </w:rPr>
        <w:t xml:space="preserve">In the event </w:t>
      </w:r>
      <w:r>
        <w:rPr>
          <w:rFonts w:cs="Arial"/>
          <w:sz w:val="24"/>
          <w:szCs w:val="24"/>
        </w:rPr>
        <w:t>TAA</w:t>
      </w:r>
      <w:r w:rsidRPr="00B678B6">
        <w:rPr>
          <w:rFonts w:cs="Arial"/>
          <w:sz w:val="24"/>
          <w:szCs w:val="24"/>
        </w:rPr>
        <w:t xml:space="preserve"> fund</w:t>
      </w:r>
      <w:r>
        <w:rPr>
          <w:rFonts w:cs="Arial"/>
          <w:sz w:val="24"/>
          <w:szCs w:val="24"/>
        </w:rPr>
        <w:t>s are</w:t>
      </w:r>
      <w:r w:rsidRPr="00B678B6">
        <w:rPr>
          <w:rFonts w:cs="Arial"/>
          <w:sz w:val="24"/>
          <w:szCs w:val="24"/>
        </w:rPr>
        <w:t xml:space="preserve"> limit</w:t>
      </w:r>
      <w:r>
        <w:rPr>
          <w:rFonts w:cs="Arial"/>
          <w:sz w:val="24"/>
          <w:szCs w:val="24"/>
        </w:rPr>
        <w:t xml:space="preserve">ed, </w:t>
      </w:r>
      <w:r w:rsidRPr="00B678B6">
        <w:rPr>
          <w:rFonts w:cs="Arial"/>
          <w:sz w:val="24"/>
          <w:szCs w:val="24"/>
        </w:rPr>
        <w:t xml:space="preserve">the </w:t>
      </w:r>
      <w:r>
        <w:rPr>
          <w:rFonts w:cs="Arial"/>
          <w:sz w:val="24"/>
          <w:szCs w:val="24"/>
        </w:rPr>
        <w:t xml:space="preserve">DW </w:t>
      </w:r>
      <w:r w:rsidRPr="00B678B6">
        <w:rPr>
          <w:rFonts w:cs="Arial"/>
          <w:sz w:val="24"/>
          <w:szCs w:val="24"/>
        </w:rPr>
        <w:t xml:space="preserve">program may co-fund </w:t>
      </w:r>
      <w:r>
        <w:rPr>
          <w:rFonts w:cs="Arial"/>
          <w:sz w:val="24"/>
          <w:szCs w:val="24"/>
        </w:rPr>
        <w:t>the</w:t>
      </w:r>
      <w:r w:rsidRPr="00B678B6">
        <w:rPr>
          <w:rFonts w:cs="Arial"/>
          <w:sz w:val="24"/>
          <w:szCs w:val="24"/>
        </w:rPr>
        <w:t xml:space="preserve"> service if it is determined appropriate, allowable, and will result in a strong likelihood the participant will obtain suitable employment.  </w:t>
      </w:r>
    </w:p>
    <w:p w14:paraId="0AFEF715" w14:textId="29BDCE88" w:rsidR="008A1DAF" w:rsidRPr="00B678B6" w:rsidRDefault="008A1DAF" w:rsidP="008A1DAF">
      <w:pPr>
        <w:pStyle w:val="ListParagraph"/>
        <w:numPr>
          <w:ilvl w:val="0"/>
          <w:numId w:val="39"/>
        </w:numPr>
        <w:overflowPunct/>
        <w:autoSpaceDE/>
        <w:autoSpaceDN/>
        <w:adjustRightInd/>
        <w:spacing w:after="120" w:line="259" w:lineRule="auto"/>
        <w:rPr>
          <w:rFonts w:cs="Arial"/>
          <w:sz w:val="24"/>
          <w:szCs w:val="24"/>
        </w:rPr>
      </w:pPr>
      <w:r>
        <w:rPr>
          <w:rFonts w:cs="Arial"/>
          <w:sz w:val="24"/>
          <w:szCs w:val="24"/>
        </w:rPr>
        <w:t xml:space="preserve">If TAA staff </w:t>
      </w:r>
      <w:r w:rsidRPr="00B678B6">
        <w:rPr>
          <w:rFonts w:cs="Arial"/>
          <w:sz w:val="24"/>
          <w:szCs w:val="24"/>
        </w:rPr>
        <w:t xml:space="preserve">determine </w:t>
      </w:r>
      <w:r>
        <w:rPr>
          <w:rFonts w:cs="Arial"/>
          <w:sz w:val="24"/>
          <w:szCs w:val="24"/>
        </w:rPr>
        <w:t xml:space="preserve">they </w:t>
      </w:r>
      <w:r w:rsidRPr="00B678B6">
        <w:rPr>
          <w:rFonts w:cs="Arial"/>
          <w:sz w:val="24"/>
          <w:szCs w:val="24"/>
        </w:rPr>
        <w:t xml:space="preserve">cannot </w:t>
      </w:r>
      <w:r>
        <w:rPr>
          <w:rFonts w:cs="Arial"/>
          <w:sz w:val="24"/>
          <w:szCs w:val="24"/>
        </w:rPr>
        <w:t xml:space="preserve">provide a service </w:t>
      </w:r>
      <w:r w:rsidRPr="00B678B6">
        <w:rPr>
          <w:rFonts w:cs="Arial"/>
          <w:sz w:val="24"/>
          <w:szCs w:val="24"/>
        </w:rPr>
        <w:t>in a timely manner</w:t>
      </w:r>
      <w:r w:rsidR="00A0016A">
        <w:rPr>
          <w:rFonts w:cs="Arial"/>
          <w:sz w:val="24"/>
          <w:szCs w:val="24"/>
        </w:rPr>
        <w:t>,</w:t>
      </w:r>
      <w:r w:rsidRPr="00B678B6">
        <w:rPr>
          <w:rFonts w:cs="Arial"/>
          <w:sz w:val="24"/>
          <w:szCs w:val="24"/>
        </w:rPr>
        <w:t xml:space="preserve"> thus preventing a </w:t>
      </w:r>
      <w:r>
        <w:rPr>
          <w:rFonts w:cs="Arial"/>
          <w:sz w:val="24"/>
          <w:szCs w:val="24"/>
        </w:rPr>
        <w:t xml:space="preserve">TAA </w:t>
      </w:r>
      <w:r w:rsidRPr="00B678B6">
        <w:rPr>
          <w:rFonts w:cs="Arial"/>
          <w:sz w:val="24"/>
          <w:szCs w:val="24"/>
        </w:rPr>
        <w:t>participant from obtaining suitable employment,</w:t>
      </w:r>
      <w:r>
        <w:rPr>
          <w:rFonts w:cs="Arial"/>
          <w:sz w:val="24"/>
          <w:szCs w:val="24"/>
        </w:rPr>
        <w:t xml:space="preserve"> they may consult with</w:t>
      </w:r>
      <w:r w:rsidRPr="00B678B6">
        <w:rPr>
          <w:rFonts w:cs="Arial"/>
          <w:sz w:val="24"/>
          <w:szCs w:val="24"/>
        </w:rPr>
        <w:t xml:space="preserve"> </w:t>
      </w:r>
      <w:r>
        <w:rPr>
          <w:rFonts w:cs="Arial"/>
          <w:sz w:val="24"/>
          <w:szCs w:val="24"/>
        </w:rPr>
        <w:t>DW</w:t>
      </w:r>
      <w:r w:rsidRPr="00B678B6">
        <w:rPr>
          <w:rFonts w:cs="Arial"/>
          <w:sz w:val="24"/>
          <w:szCs w:val="24"/>
        </w:rPr>
        <w:t xml:space="preserve"> </w:t>
      </w:r>
      <w:r w:rsidR="008625CE">
        <w:rPr>
          <w:rFonts w:cs="Arial"/>
          <w:sz w:val="24"/>
          <w:szCs w:val="24"/>
        </w:rPr>
        <w:t xml:space="preserve">subrecipient </w:t>
      </w:r>
      <w:r>
        <w:rPr>
          <w:rFonts w:cs="Arial"/>
          <w:sz w:val="24"/>
          <w:szCs w:val="24"/>
        </w:rPr>
        <w:t>staff to</w:t>
      </w:r>
      <w:r w:rsidRPr="00B678B6">
        <w:rPr>
          <w:rFonts w:cs="Arial"/>
          <w:sz w:val="24"/>
          <w:szCs w:val="24"/>
        </w:rPr>
        <w:t xml:space="preserve"> determine</w:t>
      </w:r>
      <w:r>
        <w:rPr>
          <w:rFonts w:cs="Arial"/>
          <w:sz w:val="24"/>
          <w:szCs w:val="24"/>
        </w:rPr>
        <w:t xml:space="preserve"> if the DW program is</w:t>
      </w:r>
      <w:r w:rsidRPr="00B678B6">
        <w:rPr>
          <w:rFonts w:cs="Arial"/>
          <w:sz w:val="24"/>
          <w:szCs w:val="24"/>
        </w:rPr>
        <w:t xml:space="preserve"> </w:t>
      </w:r>
      <w:r>
        <w:rPr>
          <w:rFonts w:cs="Arial"/>
          <w:sz w:val="24"/>
          <w:szCs w:val="24"/>
        </w:rPr>
        <w:t>the</w:t>
      </w:r>
      <w:r w:rsidRPr="00B678B6">
        <w:rPr>
          <w:rFonts w:cs="Arial"/>
          <w:sz w:val="24"/>
          <w:szCs w:val="24"/>
        </w:rPr>
        <w:t xml:space="preserve"> most appropriate fund source.  </w:t>
      </w:r>
    </w:p>
    <w:p w14:paraId="7259A2A3" w14:textId="36632BDF" w:rsidR="008A1DAF" w:rsidRPr="001F3CD8" w:rsidRDefault="008A1DAF" w:rsidP="008A1DAF">
      <w:pPr>
        <w:pStyle w:val="ListParagraph"/>
        <w:numPr>
          <w:ilvl w:val="0"/>
          <w:numId w:val="39"/>
        </w:numPr>
        <w:overflowPunct/>
        <w:autoSpaceDE/>
        <w:autoSpaceDN/>
        <w:adjustRightInd/>
        <w:spacing w:before="240"/>
        <w:rPr>
          <w:rFonts w:cs="Arial"/>
          <w:b/>
          <w:bCs/>
          <w:sz w:val="18"/>
          <w:szCs w:val="18"/>
        </w:rPr>
      </w:pPr>
      <w:r w:rsidRPr="00EC4E66">
        <w:rPr>
          <w:rFonts w:cs="Arial"/>
          <w:sz w:val="24"/>
          <w:szCs w:val="24"/>
        </w:rPr>
        <w:t xml:space="preserve">TAA staff shall refer TAA participants to DW </w:t>
      </w:r>
      <w:r w:rsidR="008625CE">
        <w:rPr>
          <w:rFonts w:cs="Arial"/>
          <w:sz w:val="24"/>
          <w:szCs w:val="24"/>
        </w:rPr>
        <w:t xml:space="preserve">subrecipient </w:t>
      </w:r>
      <w:r w:rsidRPr="00EC4E66">
        <w:rPr>
          <w:rFonts w:cs="Arial"/>
          <w:sz w:val="24"/>
          <w:szCs w:val="24"/>
        </w:rPr>
        <w:t>staff for supportive services the TAA program cannot fund. It is the role and responsibility of DW</w:t>
      </w:r>
      <w:r w:rsidR="006D77B4">
        <w:rPr>
          <w:rFonts w:cs="Arial"/>
          <w:sz w:val="24"/>
          <w:szCs w:val="24"/>
        </w:rPr>
        <w:t xml:space="preserve"> subrecipient</w:t>
      </w:r>
      <w:r w:rsidRPr="00EC4E66">
        <w:rPr>
          <w:rFonts w:cs="Arial"/>
          <w:sz w:val="24"/>
          <w:szCs w:val="24"/>
        </w:rPr>
        <w:t xml:space="preserve"> staff to determine the need for supportive services on a case</w:t>
      </w:r>
      <w:r w:rsidR="00A0016A">
        <w:rPr>
          <w:rFonts w:cs="Arial"/>
          <w:sz w:val="24"/>
          <w:szCs w:val="24"/>
        </w:rPr>
        <w:t>-by-</w:t>
      </w:r>
      <w:r w:rsidRPr="00EC4E66">
        <w:rPr>
          <w:rFonts w:cs="Arial"/>
          <w:sz w:val="24"/>
          <w:szCs w:val="24"/>
        </w:rPr>
        <w:t>case basis</w:t>
      </w:r>
      <w:r>
        <w:rPr>
          <w:rFonts w:cs="Arial"/>
          <w:sz w:val="24"/>
          <w:szCs w:val="24"/>
        </w:rPr>
        <w:t>.</w:t>
      </w:r>
    </w:p>
    <w:p w14:paraId="27413B8A" w14:textId="62CCE71E" w:rsidR="00A0016A" w:rsidRPr="00E565F3" w:rsidRDefault="008625CE" w:rsidP="008A1DAF">
      <w:pPr>
        <w:pStyle w:val="ListParagraph"/>
        <w:numPr>
          <w:ilvl w:val="0"/>
          <w:numId w:val="39"/>
        </w:numPr>
        <w:overflowPunct/>
        <w:autoSpaceDE/>
        <w:autoSpaceDN/>
        <w:adjustRightInd/>
        <w:spacing w:before="240"/>
        <w:rPr>
          <w:rFonts w:cs="Arial"/>
          <w:b/>
          <w:bCs/>
          <w:sz w:val="18"/>
          <w:szCs w:val="18"/>
        </w:rPr>
      </w:pPr>
      <w:r>
        <w:rPr>
          <w:rFonts w:cs="Arial"/>
          <w:sz w:val="24"/>
          <w:szCs w:val="24"/>
        </w:rPr>
        <w:t>The</w:t>
      </w:r>
      <w:r w:rsidR="00A0016A">
        <w:rPr>
          <w:rFonts w:cs="Arial"/>
          <w:sz w:val="24"/>
          <w:szCs w:val="24"/>
        </w:rPr>
        <w:t xml:space="preserve"> standard practice between the TAA and DW subrecipient staff </w:t>
      </w:r>
      <w:r>
        <w:rPr>
          <w:rFonts w:cs="Arial"/>
          <w:sz w:val="24"/>
          <w:szCs w:val="24"/>
        </w:rPr>
        <w:t xml:space="preserve">is </w:t>
      </w:r>
      <w:r w:rsidR="00A0016A">
        <w:rPr>
          <w:rFonts w:cs="Arial"/>
          <w:sz w:val="24"/>
          <w:szCs w:val="24"/>
        </w:rPr>
        <w:t xml:space="preserve">to have continuous communication and co-case management throughout the participant's co-enrollment to ensure </w:t>
      </w:r>
      <w:r>
        <w:rPr>
          <w:rFonts w:cs="Arial"/>
          <w:sz w:val="24"/>
          <w:szCs w:val="24"/>
        </w:rPr>
        <w:t xml:space="preserve">the </w:t>
      </w:r>
      <w:r w:rsidR="00A0016A">
        <w:rPr>
          <w:rFonts w:cs="Arial"/>
          <w:sz w:val="24"/>
          <w:szCs w:val="24"/>
        </w:rPr>
        <w:t>alignment of services and goals and minimize the potential of</w:t>
      </w:r>
      <w:r w:rsidR="0027725D">
        <w:rPr>
          <w:rFonts w:cs="Arial"/>
          <w:sz w:val="24"/>
          <w:szCs w:val="24"/>
        </w:rPr>
        <w:t xml:space="preserve"> </w:t>
      </w:r>
      <w:r w:rsidR="00A0016A">
        <w:rPr>
          <w:rFonts w:cs="Arial"/>
          <w:sz w:val="24"/>
          <w:szCs w:val="24"/>
        </w:rPr>
        <w:t>duplicating services.</w:t>
      </w:r>
    </w:p>
    <w:p w14:paraId="69CB5591" w14:textId="77777777" w:rsidR="00E565F3" w:rsidRPr="008A1DAF" w:rsidRDefault="00E565F3" w:rsidP="00E565F3">
      <w:pPr>
        <w:pStyle w:val="ListParagraph"/>
        <w:overflowPunct/>
        <w:autoSpaceDE/>
        <w:autoSpaceDN/>
        <w:adjustRightInd/>
        <w:spacing w:before="240"/>
        <w:rPr>
          <w:rFonts w:cs="Arial"/>
          <w:b/>
          <w:bCs/>
          <w:sz w:val="18"/>
          <w:szCs w:val="18"/>
        </w:rPr>
      </w:pPr>
    </w:p>
    <w:tbl>
      <w:tblPr>
        <w:tblStyle w:val="TableGrid"/>
        <w:tblpPr w:leftFromText="180" w:rightFromText="180" w:vertAnchor="text" w:horzAnchor="margin" w:tblpY="59"/>
        <w:tblW w:w="10019" w:type="dxa"/>
        <w:tblLook w:val="04A0" w:firstRow="1" w:lastRow="0" w:firstColumn="1" w:lastColumn="0" w:noHBand="0" w:noVBand="1"/>
      </w:tblPr>
      <w:tblGrid>
        <w:gridCol w:w="6120"/>
        <w:gridCol w:w="3899"/>
      </w:tblGrid>
      <w:tr w:rsidR="00A66810" w:rsidRPr="008F21BA" w14:paraId="2938F43A" w14:textId="77777777" w:rsidTr="00A66810">
        <w:trPr>
          <w:trHeight w:val="410"/>
        </w:trPr>
        <w:tc>
          <w:tcPr>
            <w:tcW w:w="10019" w:type="dxa"/>
            <w:gridSpan w:val="2"/>
            <w:shd w:val="clear" w:color="auto" w:fill="BFBFBF" w:themeFill="background1" w:themeFillShade="BF"/>
            <w:vAlign w:val="center"/>
          </w:tcPr>
          <w:p w14:paraId="2DD04021" w14:textId="77777777" w:rsidR="00A66810" w:rsidRPr="00A94476" w:rsidRDefault="00A66810" w:rsidP="00A66810">
            <w:pPr>
              <w:jc w:val="center"/>
              <w:rPr>
                <w:rFonts w:cs="Arial"/>
                <w:b/>
                <w:bCs/>
                <w:sz w:val="24"/>
                <w:szCs w:val="24"/>
              </w:rPr>
            </w:pPr>
            <w:r w:rsidRPr="00A94476">
              <w:rPr>
                <w:rFonts w:cs="Arial"/>
                <w:b/>
                <w:bCs/>
                <w:sz w:val="24"/>
                <w:szCs w:val="24"/>
              </w:rPr>
              <w:t xml:space="preserve">Examples of Allowable </w:t>
            </w:r>
            <w:r>
              <w:rPr>
                <w:rFonts w:cs="Arial"/>
                <w:b/>
                <w:bCs/>
                <w:sz w:val="24"/>
                <w:szCs w:val="24"/>
              </w:rPr>
              <w:t>Supports</w:t>
            </w:r>
          </w:p>
        </w:tc>
      </w:tr>
      <w:tr w:rsidR="00A66810" w14:paraId="565D66DE" w14:textId="77777777" w:rsidTr="00A66810">
        <w:trPr>
          <w:trHeight w:val="323"/>
        </w:trPr>
        <w:tc>
          <w:tcPr>
            <w:tcW w:w="6120" w:type="dxa"/>
            <w:shd w:val="clear" w:color="auto" w:fill="F2F2F2" w:themeFill="background1" w:themeFillShade="F2"/>
            <w:vAlign w:val="center"/>
          </w:tcPr>
          <w:p w14:paraId="08FE1E6E" w14:textId="77777777" w:rsidR="00A66810" w:rsidRPr="008F21BA" w:rsidRDefault="00A66810" w:rsidP="00A66810">
            <w:pPr>
              <w:jc w:val="center"/>
              <w:rPr>
                <w:rFonts w:cs="Arial"/>
                <w:b/>
                <w:bCs/>
              </w:rPr>
            </w:pPr>
            <w:r w:rsidRPr="008F21BA">
              <w:rPr>
                <w:rFonts w:cs="Arial"/>
                <w:b/>
                <w:bCs/>
              </w:rPr>
              <w:t>TAA</w:t>
            </w:r>
            <w:r>
              <w:rPr>
                <w:rFonts w:cs="Arial"/>
                <w:b/>
                <w:bCs/>
              </w:rPr>
              <w:t xml:space="preserve"> Supplemental Assistance &amp; Allowances*</w:t>
            </w:r>
          </w:p>
        </w:tc>
        <w:tc>
          <w:tcPr>
            <w:tcW w:w="3899" w:type="dxa"/>
            <w:shd w:val="clear" w:color="auto" w:fill="F2F2F2" w:themeFill="background1" w:themeFillShade="F2"/>
            <w:vAlign w:val="center"/>
          </w:tcPr>
          <w:p w14:paraId="17E20EC5" w14:textId="77777777" w:rsidR="00A66810" w:rsidRPr="008F21BA" w:rsidRDefault="00A66810" w:rsidP="00A66810">
            <w:pPr>
              <w:jc w:val="center"/>
              <w:rPr>
                <w:rFonts w:cs="Arial"/>
                <w:b/>
                <w:bCs/>
              </w:rPr>
            </w:pPr>
            <w:r w:rsidRPr="008F21BA">
              <w:rPr>
                <w:rFonts w:cs="Arial"/>
                <w:b/>
                <w:bCs/>
              </w:rPr>
              <w:t>DW</w:t>
            </w:r>
            <w:r>
              <w:rPr>
                <w:rFonts w:cs="Arial"/>
                <w:b/>
                <w:bCs/>
              </w:rPr>
              <w:t xml:space="preserve"> Supportive Services**</w:t>
            </w:r>
          </w:p>
        </w:tc>
      </w:tr>
      <w:tr w:rsidR="00A66810" w14:paraId="2E9CFF4C" w14:textId="77777777" w:rsidTr="00A66810">
        <w:trPr>
          <w:trHeight w:val="261"/>
        </w:trPr>
        <w:tc>
          <w:tcPr>
            <w:tcW w:w="6120" w:type="dxa"/>
          </w:tcPr>
          <w:p w14:paraId="5840418B" w14:textId="77777777" w:rsidR="00A66810" w:rsidRPr="008F21BA" w:rsidRDefault="00A66810" w:rsidP="00A66810">
            <w:pPr>
              <w:rPr>
                <w:rFonts w:cs="Arial"/>
              </w:rPr>
            </w:pPr>
            <w:r>
              <w:rPr>
                <w:rFonts w:cs="Arial"/>
              </w:rPr>
              <w:t>Books for training</w:t>
            </w:r>
          </w:p>
        </w:tc>
        <w:tc>
          <w:tcPr>
            <w:tcW w:w="3899" w:type="dxa"/>
          </w:tcPr>
          <w:p w14:paraId="341F44BE" w14:textId="77777777" w:rsidR="00A66810" w:rsidRPr="008F21BA" w:rsidRDefault="00A66810" w:rsidP="00A66810">
            <w:pPr>
              <w:rPr>
                <w:rFonts w:cs="Arial"/>
              </w:rPr>
            </w:pPr>
            <w:r>
              <w:rPr>
                <w:rFonts w:cs="Arial"/>
              </w:rPr>
              <w:t>Hygiene</w:t>
            </w:r>
          </w:p>
        </w:tc>
      </w:tr>
      <w:tr w:rsidR="00A66810" w14:paraId="23A66170" w14:textId="77777777" w:rsidTr="00A66810">
        <w:trPr>
          <w:trHeight w:val="261"/>
        </w:trPr>
        <w:tc>
          <w:tcPr>
            <w:tcW w:w="6120" w:type="dxa"/>
          </w:tcPr>
          <w:p w14:paraId="57FACB05" w14:textId="77777777" w:rsidR="00A66810" w:rsidRPr="008F21BA" w:rsidRDefault="00A66810" w:rsidP="00A66810">
            <w:pPr>
              <w:rPr>
                <w:rFonts w:cs="Arial"/>
              </w:rPr>
            </w:pPr>
            <w:r>
              <w:rPr>
                <w:rFonts w:cs="Arial"/>
              </w:rPr>
              <w:t>Technology (computer) required for training</w:t>
            </w:r>
          </w:p>
        </w:tc>
        <w:tc>
          <w:tcPr>
            <w:tcW w:w="3899" w:type="dxa"/>
          </w:tcPr>
          <w:p w14:paraId="4B4B5270" w14:textId="77777777" w:rsidR="00A66810" w:rsidRPr="008F21BA" w:rsidRDefault="00A66810" w:rsidP="00A66810">
            <w:pPr>
              <w:rPr>
                <w:rFonts w:cs="Arial"/>
              </w:rPr>
            </w:pPr>
            <w:r>
              <w:rPr>
                <w:rFonts w:cs="Arial"/>
              </w:rPr>
              <w:t>Interview clothing</w:t>
            </w:r>
          </w:p>
        </w:tc>
      </w:tr>
      <w:tr w:rsidR="00A66810" w14:paraId="6C5D743A" w14:textId="77777777" w:rsidTr="00A66810">
        <w:trPr>
          <w:trHeight w:val="249"/>
        </w:trPr>
        <w:tc>
          <w:tcPr>
            <w:tcW w:w="6120" w:type="dxa"/>
          </w:tcPr>
          <w:p w14:paraId="40F4DBDB" w14:textId="77777777" w:rsidR="00A66810" w:rsidRPr="008F21BA" w:rsidRDefault="00A66810" w:rsidP="00A66810">
            <w:pPr>
              <w:rPr>
                <w:rFonts w:cs="Arial"/>
              </w:rPr>
            </w:pPr>
            <w:r>
              <w:rPr>
                <w:rFonts w:cs="Arial"/>
              </w:rPr>
              <w:t>Tools &amp; equipment required for training</w:t>
            </w:r>
          </w:p>
        </w:tc>
        <w:tc>
          <w:tcPr>
            <w:tcW w:w="3899" w:type="dxa"/>
          </w:tcPr>
          <w:p w14:paraId="0CA3360E" w14:textId="77777777" w:rsidR="00A66810" w:rsidRPr="008F21BA" w:rsidRDefault="00A66810" w:rsidP="00A66810">
            <w:pPr>
              <w:rPr>
                <w:rFonts w:cs="Arial"/>
              </w:rPr>
            </w:pPr>
            <w:r>
              <w:rPr>
                <w:rFonts w:cs="Arial"/>
              </w:rPr>
              <w:t>Rent/Mortgage</w:t>
            </w:r>
          </w:p>
        </w:tc>
      </w:tr>
      <w:tr w:rsidR="00A66810" w14:paraId="2D681A71" w14:textId="77777777" w:rsidTr="00A66810">
        <w:trPr>
          <w:trHeight w:val="278"/>
        </w:trPr>
        <w:tc>
          <w:tcPr>
            <w:tcW w:w="6120" w:type="dxa"/>
          </w:tcPr>
          <w:p w14:paraId="5840B74D" w14:textId="77777777" w:rsidR="00A66810" w:rsidRDefault="00A66810" w:rsidP="00A66810">
            <w:pPr>
              <w:rPr>
                <w:rFonts w:cs="Arial"/>
              </w:rPr>
            </w:pPr>
            <w:r>
              <w:rPr>
                <w:rFonts w:cs="Arial"/>
              </w:rPr>
              <w:t>Relocation with offer &amp; acceptance of suitable employment</w:t>
            </w:r>
          </w:p>
        </w:tc>
        <w:tc>
          <w:tcPr>
            <w:tcW w:w="3899" w:type="dxa"/>
          </w:tcPr>
          <w:p w14:paraId="45C4E3E8" w14:textId="77777777" w:rsidR="00A66810" w:rsidRPr="008F21BA" w:rsidRDefault="00A66810" w:rsidP="00A66810">
            <w:pPr>
              <w:rPr>
                <w:rFonts w:cs="Arial"/>
              </w:rPr>
            </w:pPr>
            <w:r>
              <w:rPr>
                <w:rFonts w:cs="Arial"/>
              </w:rPr>
              <w:t>Childcare</w:t>
            </w:r>
          </w:p>
        </w:tc>
      </w:tr>
      <w:tr w:rsidR="00A66810" w14:paraId="506D1B9A" w14:textId="77777777" w:rsidTr="00A66810">
        <w:trPr>
          <w:trHeight w:val="260"/>
        </w:trPr>
        <w:tc>
          <w:tcPr>
            <w:tcW w:w="6120" w:type="dxa"/>
          </w:tcPr>
          <w:p w14:paraId="0DCB2EC1" w14:textId="77777777" w:rsidR="00A66810" w:rsidRDefault="00A66810" w:rsidP="00A66810">
            <w:pPr>
              <w:rPr>
                <w:rFonts w:cs="Arial"/>
              </w:rPr>
            </w:pPr>
            <w:r>
              <w:rPr>
                <w:rFonts w:cs="Arial"/>
              </w:rPr>
              <w:t>Transportation reimbursement for training after 25 miles one-way</w:t>
            </w:r>
          </w:p>
        </w:tc>
        <w:tc>
          <w:tcPr>
            <w:tcW w:w="3899" w:type="dxa"/>
          </w:tcPr>
          <w:p w14:paraId="46CD6373" w14:textId="77777777" w:rsidR="00A66810" w:rsidRPr="008F21BA" w:rsidRDefault="00A66810" w:rsidP="00A66810">
            <w:pPr>
              <w:rPr>
                <w:rFonts w:cs="Arial"/>
              </w:rPr>
            </w:pPr>
            <w:r>
              <w:rPr>
                <w:rFonts w:cs="Arial"/>
              </w:rPr>
              <w:t>Transportation not covered by TAA</w:t>
            </w:r>
          </w:p>
        </w:tc>
      </w:tr>
      <w:tr w:rsidR="00A66810" w14:paraId="7C02933C" w14:textId="77777777" w:rsidTr="00A66810">
        <w:trPr>
          <w:trHeight w:val="278"/>
        </w:trPr>
        <w:tc>
          <w:tcPr>
            <w:tcW w:w="6120" w:type="dxa"/>
          </w:tcPr>
          <w:p w14:paraId="04C8C136" w14:textId="77777777" w:rsidR="00A66810" w:rsidRDefault="00A66810" w:rsidP="00A66810">
            <w:pPr>
              <w:rPr>
                <w:rFonts w:cs="Arial"/>
              </w:rPr>
            </w:pPr>
            <w:r>
              <w:rPr>
                <w:rFonts w:cs="Arial"/>
              </w:rPr>
              <w:t>Out of town job search reimbursement after 25 miles one-way</w:t>
            </w:r>
          </w:p>
        </w:tc>
        <w:tc>
          <w:tcPr>
            <w:tcW w:w="3899" w:type="dxa"/>
          </w:tcPr>
          <w:p w14:paraId="24A8D510" w14:textId="77777777" w:rsidR="00A66810" w:rsidRPr="008F21BA" w:rsidRDefault="00A66810" w:rsidP="00A66810">
            <w:pPr>
              <w:rPr>
                <w:rFonts w:cs="Arial"/>
              </w:rPr>
            </w:pPr>
            <w:r>
              <w:rPr>
                <w:rFonts w:cs="Arial"/>
              </w:rPr>
              <w:t>Car repair</w:t>
            </w:r>
          </w:p>
        </w:tc>
      </w:tr>
      <w:tr w:rsidR="00A66810" w14:paraId="3F08A270" w14:textId="77777777" w:rsidTr="00A66810">
        <w:trPr>
          <w:trHeight w:val="261"/>
        </w:trPr>
        <w:tc>
          <w:tcPr>
            <w:tcW w:w="6120" w:type="dxa"/>
          </w:tcPr>
          <w:p w14:paraId="09D76F7E" w14:textId="77777777" w:rsidR="00A66810" w:rsidRDefault="00A66810" w:rsidP="00A66810">
            <w:pPr>
              <w:rPr>
                <w:rFonts w:cs="Arial"/>
              </w:rPr>
            </w:pPr>
          </w:p>
        </w:tc>
        <w:tc>
          <w:tcPr>
            <w:tcW w:w="3899" w:type="dxa"/>
          </w:tcPr>
          <w:p w14:paraId="28DCF0A5" w14:textId="77777777" w:rsidR="00A66810" w:rsidRDefault="00A66810" w:rsidP="00A66810">
            <w:pPr>
              <w:rPr>
                <w:rFonts w:cs="Arial"/>
              </w:rPr>
            </w:pPr>
            <w:r>
              <w:rPr>
                <w:rFonts w:cs="Arial"/>
              </w:rPr>
              <w:t>Utilities</w:t>
            </w:r>
          </w:p>
        </w:tc>
      </w:tr>
    </w:tbl>
    <w:p w14:paraId="3FB02150" w14:textId="53A42AA9" w:rsidR="008A1DAF" w:rsidRPr="001F3CD8" w:rsidRDefault="008A1DAF" w:rsidP="005A27CD">
      <w:pPr>
        <w:rPr>
          <w:rFonts w:cs="Arial"/>
          <w:color w:val="000000" w:themeColor="text1"/>
          <w:sz w:val="24"/>
          <w:szCs w:val="24"/>
        </w:rPr>
      </w:pPr>
      <w:r w:rsidRPr="001F3CD8">
        <w:rPr>
          <w:rFonts w:cs="Arial"/>
          <w:color w:val="000000" w:themeColor="text1"/>
          <w:sz w:val="24"/>
          <w:szCs w:val="24"/>
        </w:rPr>
        <w:t>*</w:t>
      </w:r>
      <w:r w:rsidR="007F5509">
        <w:rPr>
          <w:rFonts w:cs="Arial"/>
          <w:color w:val="000000" w:themeColor="text1"/>
          <w:sz w:val="24"/>
          <w:szCs w:val="24"/>
        </w:rPr>
        <w:t xml:space="preserve"> </w:t>
      </w:r>
      <w:r w:rsidRPr="001F3CD8">
        <w:rPr>
          <w:rFonts w:cs="Arial"/>
          <w:color w:val="000000" w:themeColor="text1"/>
          <w:sz w:val="24"/>
          <w:szCs w:val="24"/>
        </w:rPr>
        <w:t xml:space="preserve">Trade support must </w:t>
      </w:r>
      <w:proofErr w:type="gramStart"/>
      <w:r w:rsidR="008625CE">
        <w:rPr>
          <w:rFonts w:cs="Arial"/>
          <w:color w:val="000000" w:themeColor="text1"/>
          <w:sz w:val="24"/>
          <w:szCs w:val="24"/>
        </w:rPr>
        <w:t>tie</w:t>
      </w:r>
      <w:proofErr w:type="gramEnd"/>
      <w:r w:rsidRPr="001F3CD8">
        <w:rPr>
          <w:rFonts w:cs="Arial"/>
          <w:color w:val="000000" w:themeColor="text1"/>
          <w:sz w:val="24"/>
          <w:szCs w:val="24"/>
        </w:rPr>
        <w:t xml:space="preserve"> to training and pre-approved employment activities.</w:t>
      </w:r>
    </w:p>
    <w:p w14:paraId="62FACFDB" w14:textId="58AE5547" w:rsidR="008A1DAF" w:rsidRPr="001F3CD8" w:rsidRDefault="008A1DAF" w:rsidP="008A1DAF">
      <w:pPr>
        <w:rPr>
          <w:sz w:val="24"/>
          <w:szCs w:val="24"/>
        </w:rPr>
      </w:pPr>
      <w:r w:rsidRPr="001F3CD8">
        <w:rPr>
          <w:rFonts w:cs="Arial"/>
          <w:color w:val="000000" w:themeColor="text1"/>
          <w:sz w:val="24"/>
          <w:szCs w:val="24"/>
        </w:rPr>
        <w:lastRenderedPageBreak/>
        <w:t xml:space="preserve">**DW supportive services must </w:t>
      </w:r>
      <w:r w:rsidRPr="001F3CD8">
        <w:rPr>
          <w:rFonts w:cs="Arial"/>
          <w:sz w:val="24"/>
          <w:szCs w:val="24"/>
        </w:rPr>
        <w:t>align with education, training</w:t>
      </w:r>
      <w:r w:rsidR="008625CE">
        <w:rPr>
          <w:rFonts w:cs="Arial"/>
          <w:sz w:val="24"/>
          <w:szCs w:val="24"/>
        </w:rPr>
        <w:t>,</w:t>
      </w:r>
      <w:r w:rsidRPr="001F3CD8">
        <w:rPr>
          <w:rFonts w:cs="Arial"/>
          <w:sz w:val="24"/>
          <w:szCs w:val="24"/>
        </w:rPr>
        <w:t xml:space="preserve"> and </w:t>
      </w:r>
      <w:r w:rsidR="008625CE" w:rsidRPr="001F3CD8">
        <w:rPr>
          <w:rFonts w:cs="Arial"/>
          <w:sz w:val="24"/>
          <w:szCs w:val="24"/>
        </w:rPr>
        <w:t>employment</w:t>
      </w:r>
      <w:r w:rsidR="008625CE">
        <w:rPr>
          <w:rFonts w:cs="Arial"/>
          <w:sz w:val="24"/>
          <w:szCs w:val="24"/>
        </w:rPr>
        <w:t>-</w:t>
      </w:r>
      <w:r w:rsidRPr="001F3CD8">
        <w:rPr>
          <w:rFonts w:cs="Arial"/>
          <w:sz w:val="24"/>
          <w:szCs w:val="24"/>
        </w:rPr>
        <w:t>related</w:t>
      </w:r>
      <w:r w:rsidR="007F5509">
        <w:rPr>
          <w:rFonts w:cs="Arial"/>
          <w:sz w:val="24"/>
          <w:szCs w:val="24"/>
        </w:rPr>
        <w:t xml:space="preserve"> </w:t>
      </w:r>
      <w:r w:rsidRPr="001F3CD8">
        <w:rPr>
          <w:rFonts w:cs="Arial"/>
          <w:sz w:val="24"/>
          <w:szCs w:val="24"/>
        </w:rPr>
        <w:t>activities.</w:t>
      </w:r>
    </w:p>
    <w:p w14:paraId="676A2819" w14:textId="6E914855" w:rsidR="00D0527C" w:rsidRDefault="00D0527C" w:rsidP="000909A1">
      <w:pPr>
        <w:overflowPunct/>
        <w:spacing w:after="80"/>
        <w:rPr>
          <w:rFonts w:eastAsiaTheme="minorHAnsi" w:cs="Arial"/>
          <w:b/>
          <w:bCs/>
          <w:sz w:val="24"/>
          <w:szCs w:val="24"/>
        </w:rPr>
      </w:pPr>
    </w:p>
    <w:p w14:paraId="53DAAC9A" w14:textId="52261334" w:rsidR="008A1DAF" w:rsidRPr="008A1DAF" w:rsidRDefault="008A1DAF" w:rsidP="008A1DAF">
      <w:pPr>
        <w:pStyle w:val="ListParagraph"/>
        <w:numPr>
          <w:ilvl w:val="0"/>
          <w:numId w:val="34"/>
        </w:numPr>
        <w:rPr>
          <w:rFonts w:cs="Arial"/>
          <w:b/>
          <w:sz w:val="24"/>
          <w:szCs w:val="24"/>
        </w:rPr>
      </w:pPr>
      <w:r w:rsidRPr="008A1DAF">
        <w:rPr>
          <w:rFonts w:cs="Arial"/>
          <w:b/>
          <w:sz w:val="24"/>
          <w:szCs w:val="24"/>
        </w:rPr>
        <w:t xml:space="preserve">Definitions </w:t>
      </w:r>
    </w:p>
    <w:p w14:paraId="1E3E2BE1" w14:textId="77777777" w:rsidR="008A1DAF" w:rsidRPr="008A1DAF" w:rsidRDefault="008A1DAF" w:rsidP="008A1DAF">
      <w:pPr>
        <w:pStyle w:val="ListParagraph"/>
        <w:ind w:left="360"/>
        <w:rPr>
          <w:rFonts w:cs="Arial"/>
          <w:color w:val="000000" w:themeColor="text1"/>
          <w:sz w:val="18"/>
          <w:szCs w:val="18"/>
        </w:rPr>
      </w:pPr>
    </w:p>
    <w:p w14:paraId="3962DD22" w14:textId="08AC9FB8" w:rsidR="00EE2374" w:rsidRDefault="008A1DAF" w:rsidP="008A1DAF">
      <w:pPr>
        <w:pStyle w:val="BodyText"/>
        <w:ind w:right="125"/>
        <w:rPr>
          <w:rFonts w:eastAsiaTheme="minorEastAsia" w:cs="Arial"/>
          <w:szCs w:val="24"/>
        </w:rPr>
      </w:pPr>
      <w:r w:rsidRPr="004D7136">
        <w:rPr>
          <w:rFonts w:eastAsiaTheme="minorEastAsia" w:cs="Arial"/>
          <w:b/>
          <w:szCs w:val="24"/>
        </w:rPr>
        <w:t>Adversely Affected Incumbent Workers (AAIW)</w:t>
      </w:r>
      <w:r w:rsidRPr="006C647A">
        <w:rPr>
          <w:rFonts w:eastAsiaTheme="minorEastAsia" w:cs="Arial"/>
          <w:szCs w:val="24"/>
        </w:rPr>
        <w:t xml:space="preserve"> </w:t>
      </w:r>
      <w:r w:rsidR="00EE2374">
        <w:rPr>
          <w:rFonts w:eastAsiaTheme="minorEastAsia" w:cs="Arial"/>
          <w:szCs w:val="24"/>
        </w:rPr>
        <w:t>–</w:t>
      </w:r>
      <w:r w:rsidRPr="006C647A">
        <w:rPr>
          <w:rFonts w:eastAsiaTheme="minorEastAsia" w:cs="Arial"/>
          <w:szCs w:val="24"/>
        </w:rPr>
        <w:t xml:space="preserve"> </w:t>
      </w:r>
    </w:p>
    <w:p w14:paraId="401AF5AF" w14:textId="77777777" w:rsidR="00EE2374" w:rsidRDefault="008A1DAF" w:rsidP="008A1DAF">
      <w:pPr>
        <w:pStyle w:val="BodyText"/>
        <w:ind w:right="125"/>
        <w:rPr>
          <w:rFonts w:eastAsiaTheme="minorEastAsia" w:cs="Arial"/>
          <w:szCs w:val="24"/>
        </w:rPr>
      </w:pPr>
      <w:r w:rsidRPr="006C647A">
        <w:rPr>
          <w:rFonts w:eastAsiaTheme="minorEastAsia" w:cs="Arial"/>
          <w:szCs w:val="24"/>
        </w:rPr>
        <w:t xml:space="preserve">A worker who: </w:t>
      </w:r>
    </w:p>
    <w:p w14:paraId="1A77DABB" w14:textId="34BB4DBD" w:rsidR="00EE2374" w:rsidRDefault="008A1DAF" w:rsidP="008A1DAF">
      <w:pPr>
        <w:pStyle w:val="BodyText"/>
        <w:ind w:right="125"/>
        <w:rPr>
          <w:rFonts w:eastAsiaTheme="minorEastAsia" w:cs="Arial"/>
          <w:szCs w:val="24"/>
        </w:rPr>
      </w:pPr>
      <w:r w:rsidRPr="006C647A">
        <w:rPr>
          <w:rFonts w:eastAsiaTheme="minorEastAsia" w:cs="Arial"/>
          <w:szCs w:val="24"/>
        </w:rPr>
        <w:t>1</w:t>
      </w:r>
      <w:r w:rsidR="00EE2374">
        <w:rPr>
          <w:rFonts w:eastAsiaTheme="minorEastAsia" w:cs="Arial"/>
          <w:szCs w:val="24"/>
        </w:rPr>
        <w:t xml:space="preserve">. </w:t>
      </w:r>
      <w:r w:rsidRPr="006C647A">
        <w:rPr>
          <w:rFonts w:eastAsiaTheme="minorEastAsia" w:cs="Arial"/>
          <w:szCs w:val="24"/>
        </w:rPr>
        <w:t xml:space="preserve"> Is a member of a worker group certified as eligible to apply for the TAA program under subpart B of the TAA Final </w:t>
      </w:r>
      <w:proofErr w:type="gramStart"/>
      <w:r w:rsidRPr="006C647A">
        <w:rPr>
          <w:rFonts w:eastAsiaTheme="minorEastAsia" w:cs="Arial"/>
          <w:szCs w:val="24"/>
        </w:rPr>
        <w:t>Rule;</w:t>
      </w:r>
      <w:proofErr w:type="gramEnd"/>
      <w:r w:rsidRPr="006C647A">
        <w:rPr>
          <w:rFonts w:eastAsiaTheme="minorEastAsia" w:cs="Arial"/>
          <w:szCs w:val="24"/>
        </w:rPr>
        <w:t xml:space="preserve"> </w:t>
      </w:r>
    </w:p>
    <w:p w14:paraId="071C8450" w14:textId="54D8E018" w:rsidR="008A1DAF" w:rsidRDefault="008A1DAF" w:rsidP="008A1DAF">
      <w:pPr>
        <w:pStyle w:val="BodyText"/>
        <w:ind w:right="125"/>
        <w:rPr>
          <w:rFonts w:eastAsiaTheme="minorEastAsia" w:cs="Arial"/>
          <w:bCs/>
          <w:i/>
          <w:iCs/>
          <w:szCs w:val="24"/>
        </w:rPr>
      </w:pPr>
      <w:r w:rsidRPr="006C647A">
        <w:rPr>
          <w:rFonts w:eastAsiaTheme="minorEastAsia" w:cs="Arial"/>
          <w:szCs w:val="24"/>
        </w:rPr>
        <w:t>2</w:t>
      </w:r>
      <w:r w:rsidR="00EE2374">
        <w:rPr>
          <w:rFonts w:eastAsiaTheme="minorEastAsia" w:cs="Arial"/>
          <w:szCs w:val="24"/>
        </w:rPr>
        <w:t>.</w:t>
      </w:r>
      <w:r w:rsidRPr="006C647A">
        <w:rPr>
          <w:rFonts w:eastAsiaTheme="minorEastAsia" w:cs="Arial"/>
          <w:szCs w:val="24"/>
        </w:rPr>
        <w:t xml:space="preserve"> </w:t>
      </w:r>
      <w:r w:rsidR="00EE2374">
        <w:rPr>
          <w:rFonts w:eastAsiaTheme="minorEastAsia" w:cs="Arial"/>
          <w:szCs w:val="24"/>
        </w:rPr>
        <w:t>H</w:t>
      </w:r>
      <w:r w:rsidRPr="006C647A">
        <w:rPr>
          <w:rFonts w:eastAsiaTheme="minorEastAsia" w:cs="Arial"/>
          <w:szCs w:val="24"/>
        </w:rPr>
        <w:t>as not been totally or partially separated from adversely affected employment; and 3</w:t>
      </w:r>
      <w:r w:rsidR="00EE2374">
        <w:rPr>
          <w:rFonts w:eastAsiaTheme="minorEastAsia" w:cs="Arial"/>
          <w:szCs w:val="24"/>
        </w:rPr>
        <w:t xml:space="preserve">. </w:t>
      </w:r>
      <w:r w:rsidRPr="006C647A">
        <w:rPr>
          <w:rFonts w:eastAsiaTheme="minorEastAsia" w:cs="Arial"/>
          <w:szCs w:val="24"/>
        </w:rPr>
        <w:t>DOL determines, on an individual basis, is threatened with total or partial separation.</w:t>
      </w:r>
    </w:p>
    <w:p w14:paraId="6C0CA7E8" w14:textId="77777777" w:rsidR="008A1DAF" w:rsidRDefault="008A1DAF" w:rsidP="008A1DAF">
      <w:pPr>
        <w:pStyle w:val="BodyText"/>
        <w:ind w:right="125"/>
        <w:rPr>
          <w:rFonts w:eastAsiaTheme="minorEastAsia" w:cs="Arial"/>
          <w:bCs/>
          <w:i/>
          <w:iCs/>
          <w:szCs w:val="24"/>
        </w:rPr>
      </w:pPr>
    </w:p>
    <w:p w14:paraId="3C926DFC" w14:textId="635BFF6B" w:rsidR="008A1DAF" w:rsidRDefault="008625CE" w:rsidP="008A1DAF">
      <w:pPr>
        <w:pStyle w:val="BodyText"/>
        <w:ind w:right="125"/>
        <w:rPr>
          <w:rFonts w:eastAsiaTheme="minorEastAsia" w:cs="Arial"/>
          <w:bCs/>
          <w:i/>
          <w:iCs/>
          <w:szCs w:val="24"/>
        </w:rPr>
      </w:pPr>
      <w:r>
        <w:rPr>
          <w:rFonts w:eastAsiaTheme="minorEastAsia" w:cs="Arial"/>
          <w:b/>
          <w:szCs w:val="24"/>
        </w:rPr>
        <w:t>Trade Adjustment Assistance (</w:t>
      </w:r>
      <w:r w:rsidR="008A1DAF" w:rsidRPr="004D7136">
        <w:rPr>
          <w:rFonts w:eastAsiaTheme="minorEastAsia" w:cs="Arial"/>
          <w:b/>
          <w:szCs w:val="24"/>
        </w:rPr>
        <w:t>TAA</w:t>
      </w:r>
      <w:r>
        <w:rPr>
          <w:rFonts w:eastAsiaTheme="minorEastAsia" w:cs="Arial"/>
          <w:b/>
          <w:szCs w:val="24"/>
        </w:rPr>
        <w:t>)</w:t>
      </w:r>
      <w:r w:rsidR="008A1DAF" w:rsidRPr="004D7136">
        <w:rPr>
          <w:rFonts w:eastAsiaTheme="minorEastAsia" w:cs="Arial"/>
          <w:b/>
          <w:szCs w:val="24"/>
        </w:rPr>
        <w:t xml:space="preserve"> Staff</w:t>
      </w:r>
      <w:r w:rsidR="008A1DAF">
        <w:rPr>
          <w:rFonts w:eastAsiaTheme="minorEastAsia" w:cs="Arial"/>
          <w:b/>
          <w:szCs w:val="24"/>
        </w:rPr>
        <w:t xml:space="preserve"> </w:t>
      </w:r>
      <w:r w:rsidR="008A1DAF" w:rsidRPr="006C647A">
        <w:rPr>
          <w:rFonts w:eastAsiaTheme="minorEastAsia" w:cs="Arial"/>
          <w:szCs w:val="24"/>
        </w:rPr>
        <w:t>-</w:t>
      </w:r>
      <w:r w:rsidR="008A1DAF" w:rsidRPr="003535DF">
        <w:rPr>
          <w:rFonts w:eastAsiaTheme="minorEastAsia" w:cs="Arial"/>
          <w:szCs w:val="24"/>
        </w:rPr>
        <w:t xml:space="preserve"> </w:t>
      </w:r>
      <w:r w:rsidR="008A1DAF">
        <w:rPr>
          <w:rFonts w:eastAsiaTheme="minorEastAsia" w:cs="Arial"/>
          <w:szCs w:val="24"/>
        </w:rPr>
        <w:t>Provides U.S. workers negatively impacted by</w:t>
      </w:r>
      <w:r w:rsidR="008A1DAF" w:rsidRPr="001D680C">
        <w:rPr>
          <w:rFonts w:eastAsiaTheme="minorEastAsia" w:cs="Arial"/>
          <w:szCs w:val="24"/>
        </w:rPr>
        <w:t xml:space="preserve"> international imports or competition</w:t>
      </w:r>
      <w:r w:rsidR="008A1DAF">
        <w:rPr>
          <w:rFonts w:eastAsiaTheme="minorEastAsia" w:cs="Arial"/>
          <w:szCs w:val="24"/>
        </w:rPr>
        <w:t xml:space="preserve"> with the opportunity to obtain the skills, resources, and support they need to become re-employed in a high wage-high demand occupation.</w:t>
      </w:r>
    </w:p>
    <w:p w14:paraId="58923C61" w14:textId="77777777" w:rsidR="008A1DAF" w:rsidRDefault="008A1DAF" w:rsidP="008A1DAF">
      <w:pPr>
        <w:pStyle w:val="BodyText"/>
        <w:ind w:right="125"/>
        <w:rPr>
          <w:rFonts w:eastAsiaTheme="minorEastAsia" w:cs="Arial"/>
          <w:bCs/>
          <w:i/>
          <w:iCs/>
          <w:szCs w:val="24"/>
        </w:rPr>
      </w:pPr>
    </w:p>
    <w:p w14:paraId="7D233B4A" w14:textId="372C34DC" w:rsidR="008A1DAF" w:rsidRDefault="008625CE" w:rsidP="008A1DAF">
      <w:pPr>
        <w:pStyle w:val="BodyText"/>
        <w:ind w:right="125"/>
        <w:rPr>
          <w:rFonts w:eastAsiaTheme="minorEastAsia" w:cs="Arial"/>
          <w:bCs/>
          <w:i/>
          <w:iCs/>
          <w:szCs w:val="24"/>
        </w:rPr>
      </w:pPr>
      <w:r>
        <w:rPr>
          <w:rFonts w:eastAsiaTheme="minorEastAsia" w:cs="Arial"/>
          <w:b/>
          <w:szCs w:val="24"/>
        </w:rPr>
        <w:t>Dislocated Worker (</w:t>
      </w:r>
      <w:r w:rsidR="008A1DAF" w:rsidRPr="00587AC0">
        <w:rPr>
          <w:rFonts w:eastAsiaTheme="minorEastAsia" w:cs="Arial"/>
          <w:b/>
          <w:szCs w:val="24"/>
        </w:rPr>
        <w:t>DW</w:t>
      </w:r>
      <w:r>
        <w:rPr>
          <w:rFonts w:eastAsiaTheme="minorEastAsia" w:cs="Arial"/>
          <w:b/>
          <w:szCs w:val="24"/>
        </w:rPr>
        <w:t>)</w:t>
      </w:r>
      <w:r w:rsidR="008A1DAF" w:rsidRPr="00587AC0">
        <w:rPr>
          <w:rFonts w:eastAsiaTheme="minorEastAsia" w:cs="Arial"/>
          <w:b/>
          <w:szCs w:val="24"/>
        </w:rPr>
        <w:t xml:space="preserve"> Prog</w:t>
      </w:r>
      <w:r w:rsidR="008A1DAF">
        <w:rPr>
          <w:rFonts w:eastAsiaTheme="minorEastAsia" w:cs="Arial"/>
          <w:b/>
          <w:szCs w:val="24"/>
        </w:rPr>
        <w:t>r</w:t>
      </w:r>
      <w:r w:rsidR="008A1DAF" w:rsidRPr="00587AC0">
        <w:rPr>
          <w:rFonts w:eastAsiaTheme="minorEastAsia" w:cs="Arial"/>
          <w:b/>
          <w:szCs w:val="24"/>
        </w:rPr>
        <w:t>am</w:t>
      </w:r>
      <w:r w:rsidR="008A1DAF">
        <w:rPr>
          <w:rFonts w:eastAsiaTheme="minorEastAsia" w:cs="Arial"/>
          <w:szCs w:val="24"/>
        </w:rPr>
        <w:t xml:space="preserve"> - Designed to help dislocated workers who have been laid-off get back to work as quickly as possible and overcome barriers to employment.</w:t>
      </w:r>
    </w:p>
    <w:p w14:paraId="4BA66EDB" w14:textId="77777777" w:rsidR="008A1DAF" w:rsidRDefault="008A1DAF" w:rsidP="008A1DAF">
      <w:pPr>
        <w:pStyle w:val="BodyText"/>
        <w:ind w:right="125"/>
        <w:rPr>
          <w:rFonts w:eastAsiaTheme="minorEastAsia" w:cs="Arial"/>
          <w:bCs/>
          <w:i/>
          <w:iCs/>
          <w:szCs w:val="24"/>
        </w:rPr>
      </w:pPr>
    </w:p>
    <w:p w14:paraId="4AF7B3D4" w14:textId="39B9636A" w:rsidR="008A1DAF" w:rsidRDefault="008A1DAF" w:rsidP="008A1DAF">
      <w:pPr>
        <w:pStyle w:val="BodyText"/>
        <w:ind w:right="125"/>
        <w:rPr>
          <w:rFonts w:cs="Arial"/>
          <w:i/>
          <w:iCs/>
          <w:szCs w:val="24"/>
          <w:shd w:val="clear" w:color="auto" w:fill="FFFFFF"/>
        </w:rPr>
      </w:pPr>
      <w:r>
        <w:rPr>
          <w:rFonts w:eastAsiaTheme="minorEastAsia" w:cs="Arial"/>
          <w:b/>
          <w:szCs w:val="24"/>
        </w:rPr>
        <w:t xml:space="preserve">DW </w:t>
      </w:r>
      <w:r w:rsidR="008625CE">
        <w:rPr>
          <w:rFonts w:eastAsiaTheme="minorEastAsia" w:cs="Arial"/>
          <w:b/>
          <w:szCs w:val="24"/>
        </w:rPr>
        <w:t xml:space="preserve">Subrecipient </w:t>
      </w:r>
      <w:r>
        <w:rPr>
          <w:rFonts w:eastAsiaTheme="minorEastAsia" w:cs="Arial"/>
          <w:b/>
          <w:szCs w:val="24"/>
        </w:rPr>
        <w:t xml:space="preserve">Staff </w:t>
      </w:r>
      <w:r w:rsidRPr="003535DF">
        <w:rPr>
          <w:rFonts w:eastAsiaTheme="minorEastAsia" w:cs="Arial"/>
          <w:szCs w:val="24"/>
        </w:rPr>
        <w:t>-</w:t>
      </w:r>
      <w:r w:rsidRPr="00587AC0">
        <w:rPr>
          <w:rFonts w:eastAsiaTheme="minorEastAsia" w:cs="Arial"/>
          <w:szCs w:val="24"/>
        </w:rPr>
        <w:t xml:space="preserve"> </w:t>
      </w:r>
      <w:r>
        <w:rPr>
          <w:rFonts w:eastAsiaTheme="minorEastAsia" w:cs="Arial"/>
          <w:szCs w:val="24"/>
        </w:rPr>
        <w:t xml:space="preserve">Provides </w:t>
      </w:r>
      <w:r w:rsidRPr="003535DF">
        <w:rPr>
          <w:rFonts w:cs="Arial"/>
          <w:szCs w:val="24"/>
          <w:shd w:val="clear" w:color="auto" w:fill="FFFFFF"/>
        </w:rPr>
        <w:t>comprehensive</w:t>
      </w:r>
      <w:r>
        <w:rPr>
          <w:rFonts w:cs="Arial"/>
          <w:szCs w:val="24"/>
          <w:shd w:val="clear" w:color="auto" w:fill="FFFFFF"/>
        </w:rPr>
        <w:t xml:space="preserve"> case management,</w:t>
      </w:r>
      <w:r w:rsidRPr="003535DF">
        <w:rPr>
          <w:rFonts w:cs="Arial"/>
          <w:szCs w:val="24"/>
          <w:shd w:val="clear" w:color="auto" w:fill="FFFFFF"/>
        </w:rPr>
        <w:t xml:space="preserve"> employment </w:t>
      </w:r>
      <w:r>
        <w:rPr>
          <w:rFonts w:cs="Arial"/>
          <w:szCs w:val="24"/>
          <w:shd w:val="clear" w:color="auto" w:fill="FFFFFF"/>
        </w:rPr>
        <w:t xml:space="preserve">and </w:t>
      </w:r>
      <w:r w:rsidRPr="003535DF">
        <w:rPr>
          <w:rFonts w:cs="Arial"/>
          <w:szCs w:val="24"/>
          <w:shd w:val="clear" w:color="auto" w:fill="FFFFFF"/>
        </w:rPr>
        <w:t>training</w:t>
      </w:r>
      <w:r>
        <w:rPr>
          <w:rFonts w:cs="Arial"/>
          <w:szCs w:val="24"/>
          <w:shd w:val="clear" w:color="auto" w:fill="FFFFFF"/>
        </w:rPr>
        <w:t xml:space="preserve"> opportunities</w:t>
      </w:r>
      <w:r w:rsidRPr="003535DF">
        <w:rPr>
          <w:rFonts w:cs="Arial"/>
          <w:szCs w:val="24"/>
          <w:shd w:val="clear" w:color="auto" w:fill="FFFFFF"/>
        </w:rPr>
        <w:t xml:space="preserve">, job placement, and follow-up services to </w:t>
      </w:r>
      <w:r>
        <w:rPr>
          <w:rFonts w:cs="Arial"/>
          <w:szCs w:val="24"/>
          <w:shd w:val="clear" w:color="auto" w:fill="FFFFFF"/>
        </w:rPr>
        <w:t>dislocated workers.</w:t>
      </w:r>
    </w:p>
    <w:p w14:paraId="1BBAB7EA" w14:textId="77777777" w:rsidR="008A1DAF" w:rsidRDefault="008A1DAF" w:rsidP="008A1DAF">
      <w:pPr>
        <w:pStyle w:val="BodyText"/>
        <w:ind w:right="125"/>
        <w:rPr>
          <w:rFonts w:cs="Arial"/>
          <w:i/>
          <w:iCs/>
          <w:szCs w:val="24"/>
          <w:shd w:val="clear" w:color="auto" w:fill="FFFFFF"/>
        </w:rPr>
      </w:pPr>
    </w:p>
    <w:p w14:paraId="5946A221" w14:textId="77777777" w:rsidR="00D660F4" w:rsidRDefault="008A1DAF" w:rsidP="008A1DAF">
      <w:pPr>
        <w:pStyle w:val="BodyText"/>
        <w:ind w:right="125"/>
        <w:rPr>
          <w:rFonts w:cs="Arial"/>
          <w:szCs w:val="24"/>
          <w:shd w:val="clear" w:color="auto" w:fill="FFFFFF"/>
        </w:rPr>
      </w:pPr>
      <w:r w:rsidRPr="000E1D39">
        <w:rPr>
          <w:rFonts w:cs="Arial"/>
          <w:b/>
          <w:szCs w:val="24"/>
          <w:shd w:val="clear" w:color="auto" w:fill="FFFFFF"/>
        </w:rPr>
        <w:t>DW</w:t>
      </w:r>
      <w:r w:rsidR="008F68FA">
        <w:rPr>
          <w:rFonts w:cs="Arial"/>
          <w:b/>
          <w:szCs w:val="24"/>
          <w:shd w:val="clear" w:color="auto" w:fill="FFFFFF"/>
        </w:rPr>
        <w:t xml:space="preserve"> Subrecipient</w:t>
      </w:r>
      <w:r w:rsidRPr="000E1D39">
        <w:rPr>
          <w:rFonts w:cs="Arial"/>
          <w:b/>
          <w:szCs w:val="24"/>
          <w:shd w:val="clear" w:color="auto" w:fill="FFFFFF"/>
        </w:rPr>
        <w:t xml:space="preserve"> Program Manager</w:t>
      </w:r>
      <w:r>
        <w:rPr>
          <w:rFonts w:cs="Arial"/>
          <w:szCs w:val="24"/>
          <w:shd w:val="clear" w:color="auto" w:fill="FFFFFF"/>
        </w:rPr>
        <w:t xml:space="preserve"> </w:t>
      </w:r>
      <w:r w:rsidRPr="006C647A">
        <w:rPr>
          <w:rFonts w:eastAsiaTheme="minorEastAsia" w:cs="Arial"/>
          <w:szCs w:val="24"/>
        </w:rPr>
        <w:t>-</w:t>
      </w:r>
      <w:r>
        <w:rPr>
          <w:rFonts w:cs="Arial"/>
          <w:szCs w:val="24"/>
          <w:shd w:val="clear" w:color="auto" w:fill="FFFFFF"/>
        </w:rPr>
        <w:t xml:space="preserve"> Responsible for the oversite of DW </w:t>
      </w:r>
      <w:r w:rsidR="008625CE">
        <w:rPr>
          <w:rFonts w:cs="Arial"/>
          <w:szCs w:val="24"/>
          <w:shd w:val="clear" w:color="auto" w:fill="FFFFFF"/>
        </w:rPr>
        <w:t xml:space="preserve">subrecipient </w:t>
      </w:r>
      <w:r>
        <w:rPr>
          <w:rFonts w:cs="Arial"/>
          <w:szCs w:val="24"/>
          <w:shd w:val="clear" w:color="auto" w:fill="FFFFFF"/>
        </w:rPr>
        <w:t>staff, operations, and program activities.</w:t>
      </w:r>
    </w:p>
    <w:p w14:paraId="32A352DE" w14:textId="77777777" w:rsidR="00D660F4" w:rsidRDefault="00D660F4" w:rsidP="008A1DAF">
      <w:pPr>
        <w:pStyle w:val="BodyText"/>
        <w:ind w:right="125"/>
        <w:rPr>
          <w:rFonts w:cs="Arial"/>
          <w:szCs w:val="24"/>
          <w:shd w:val="clear" w:color="auto" w:fill="FFFFFF"/>
        </w:rPr>
      </w:pPr>
    </w:p>
    <w:p w14:paraId="0AB53B2C" w14:textId="67876937" w:rsidR="00D660F4" w:rsidRPr="00657E00" w:rsidRDefault="00D660F4" w:rsidP="008A1DAF">
      <w:pPr>
        <w:pStyle w:val="BodyText"/>
        <w:ind w:right="125"/>
        <w:rPr>
          <w:rFonts w:cs="Arial"/>
          <w:szCs w:val="24"/>
          <w:shd w:val="clear" w:color="auto" w:fill="FFFFFF"/>
        </w:rPr>
      </w:pPr>
      <w:r w:rsidRPr="00657E00">
        <w:rPr>
          <w:rFonts w:cs="Arial"/>
          <w:b/>
          <w:bCs/>
          <w:szCs w:val="24"/>
          <w:shd w:val="clear" w:color="auto" w:fill="FFFFFF"/>
        </w:rPr>
        <w:t>Referral</w:t>
      </w:r>
      <w:r w:rsidRPr="00657E00">
        <w:rPr>
          <w:rFonts w:cs="Arial"/>
          <w:szCs w:val="24"/>
          <w:shd w:val="clear" w:color="auto" w:fill="FFFFFF"/>
        </w:rPr>
        <w:t xml:space="preserve">- In the context of this policy, the act of a TAA case manager facilitating a direct connection, either in person or virtually, of a TAA participant to a Title I-B DW service provider so the former is acknowledged by the latter and the former received program-related information, an eligibility determination, and, if eligible and agreeable, full enrollment into the Title I-B DW program. </w:t>
      </w:r>
    </w:p>
    <w:p w14:paraId="44BE11BF" w14:textId="77777777" w:rsidR="008A1DAF" w:rsidRPr="006C647A" w:rsidRDefault="008A1DAF" w:rsidP="008A1DAF">
      <w:pPr>
        <w:pStyle w:val="BodyText"/>
        <w:ind w:right="125"/>
        <w:rPr>
          <w:rFonts w:eastAsiaTheme="minorEastAsia" w:cs="Arial"/>
          <w:bCs/>
          <w:i/>
          <w:iCs/>
          <w:szCs w:val="24"/>
        </w:rPr>
      </w:pPr>
    </w:p>
    <w:p w14:paraId="4ABB936B" w14:textId="77777777" w:rsidR="008A1DAF" w:rsidRPr="006C647A" w:rsidRDefault="008A1DAF" w:rsidP="008A1DAF">
      <w:pPr>
        <w:rPr>
          <w:rFonts w:cs="Arial"/>
          <w:b/>
          <w:bCs/>
          <w:color w:val="000000" w:themeColor="text1"/>
          <w:sz w:val="24"/>
          <w:szCs w:val="24"/>
        </w:rPr>
      </w:pPr>
      <w:r>
        <w:rPr>
          <w:rFonts w:cs="Arial"/>
          <w:b/>
          <w:bCs/>
          <w:color w:val="000000" w:themeColor="text1"/>
          <w:sz w:val="24"/>
          <w:szCs w:val="24"/>
        </w:rPr>
        <w:t xml:space="preserve">G.  </w:t>
      </w:r>
      <w:r w:rsidRPr="006C647A">
        <w:rPr>
          <w:rFonts w:cs="Arial"/>
          <w:b/>
          <w:bCs/>
          <w:color w:val="000000" w:themeColor="text1"/>
          <w:sz w:val="24"/>
          <w:szCs w:val="24"/>
        </w:rPr>
        <w:t>References</w:t>
      </w:r>
    </w:p>
    <w:p w14:paraId="19135135" w14:textId="77777777" w:rsidR="008A1DAF" w:rsidRPr="006C647A" w:rsidRDefault="00657E00" w:rsidP="008A1DAF">
      <w:pPr>
        <w:pStyle w:val="BodyText"/>
        <w:widowControl w:val="0"/>
        <w:numPr>
          <w:ilvl w:val="0"/>
          <w:numId w:val="40"/>
        </w:numPr>
        <w:tabs>
          <w:tab w:val="left" w:pos="460"/>
        </w:tabs>
        <w:overflowPunct/>
        <w:autoSpaceDE/>
        <w:autoSpaceDN/>
        <w:adjustRightInd/>
        <w:spacing w:before="55"/>
        <w:ind w:right="212"/>
        <w:rPr>
          <w:rFonts w:eastAsiaTheme="minorEastAsia" w:cs="Arial"/>
          <w:bCs/>
          <w:i/>
          <w:iCs/>
          <w:szCs w:val="24"/>
        </w:rPr>
      </w:pPr>
      <w:hyperlink r:id="rId8">
        <w:r w:rsidR="008A1DAF" w:rsidRPr="006C647A">
          <w:rPr>
            <w:u w:val="single" w:color="0000FF"/>
          </w:rPr>
          <w:t>20 CFR</w:t>
        </w:r>
        <w:r w:rsidR="008A1DAF" w:rsidRPr="006C647A">
          <w:rPr>
            <w:spacing w:val="-1"/>
            <w:u w:val="single" w:color="0000FF"/>
          </w:rPr>
          <w:t xml:space="preserve"> </w:t>
        </w:r>
        <w:r w:rsidR="008A1DAF" w:rsidRPr="006C647A">
          <w:rPr>
            <w:u w:val="single" w:color="0000FF"/>
          </w:rPr>
          <w:t>618.325</w:t>
        </w:r>
      </w:hyperlink>
      <w:r w:rsidR="008A1DAF" w:rsidRPr="006C647A">
        <w:t>,</w:t>
      </w:r>
      <w:r w:rsidR="008A1DAF" w:rsidRPr="006C647A">
        <w:rPr>
          <w:spacing w:val="-2"/>
        </w:rPr>
        <w:t xml:space="preserve"> </w:t>
      </w:r>
      <w:r w:rsidR="008A1DAF" w:rsidRPr="006C647A">
        <w:rPr>
          <w:rFonts w:eastAsiaTheme="minorEastAsia" w:cs="Arial"/>
          <w:szCs w:val="24"/>
        </w:rPr>
        <w:t>Integrated service strategies and Workforce Innovation and Opportunity Act co-enrollment, Trade Adjustment Assistance Final Rule, Federal Register, Volume 85, No. 163, August 21, 2020, page 51987.</w:t>
      </w:r>
    </w:p>
    <w:p w14:paraId="151F0FDC" w14:textId="636B5F27" w:rsidR="008A1DAF" w:rsidRDefault="00657E00" w:rsidP="008A1DAF">
      <w:pPr>
        <w:widowControl w:val="0"/>
        <w:numPr>
          <w:ilvl w:val="0"/>
          <w:numId w:val="40"/>
        </w:numPr>
        <w:tabs>
          <w:tab w:val="left" w:pos="460"/>
        </w:tabs>
        <w:overflowPunct/>
        <w:autoSpaceDE/>
        <w:autoSpaceDN/>
        <w:adjustRightInd/>
        <w:spacing w:before="29" w:line="266" w:lineRule="exact"/>
        <w:ind w:right="125"/>
        <w:rPr>
          <w:rFonts w:cs="Arial"/>
          <w:sz w:val="24"/>
          <w:szCs w:val="24"/>
        </w:rPr>
      </w:pPr>
      <w:hyperlink r:id="rId9">
        <w:r w:rsidR="008A1DAF">
          <w:rPr>
            <w:color w:val="0000FF"/>
            <w:spacing w:val="-1"/>
            <w:sz w:val="24"/>
            <w:u w:val="single" w:color="0000FF"/>
          </w:rPr>
          <w:t>Training</w:t>
        </w:r>
        <w:r w:rsidR="008A1DAF">
          <w:rPr>
            <w:color w:val="0000FF"/>
            <w:sz w:val="24"/>
            <w:u w:val="single" w:color="0000FF"/>
          </w:rPr>
          <w:t xml:space="preserve"> </w:t>
        </w:r>
        <w:r w:rsidR="008A1DAF">
          <w:rPr>
            <w:color w:val="0000FF"/>
            <w:spacing w:val="-1"/>
            <w:sz w:val="24"/>
            <w:u w:val="single" w:color="0000FF"/>
          </w:rPr>
          <w:t>and</w:t>
        </w:r>
        <w:r w:rsidR="008A1DAF">
          <w:rPr>
            <w:color w:val="0000FF"/>
            <w:spacing w:val="-2"/>
            <w:sz w:val="24"/>
            <w:u w:val="single" w:color="0000FF"/>
          </w:rPr>
          <w:t xml:space="preserve"> </w:t>
        </w:r>
        <w:r w:rsidR="008A1DAF">
          <w:rPr>
            <w:color w:val="0000FF"/>
            <w:sz w:val="24"/>
            <w:u w:val="single" w:color="0000FF"/>
          </w:rPr>
          <w:t xml:space="preserve">Employment </w:t>
        </w:r>
        <w:r w:rsidR="008A1DAF">
          <w:rPr>
            <w:color w:val="0000FF"/>
            <w:spacing w:val="-1"/>
            <w:sz w:val="24"/>
            <w:u w:val="single" w:color="0000FF"/>
          </w:rPr>
          <w:t>Guidance</w:t>
        </w:r>
        <w:r w:rsidR="008A1DAF">
          <w:rPr>
            <w:color w:val="0000FF"/>
            <w:spacing w:val="-2"/>
            <w:sz w:val="24"/>
            <w:u w:val="single" w:color="0000FF"/>
          </w:rPr>
          <w:t xml:space="preserve"> </w:t>
        </w:r>
        <w:r w:rsidR="008A1DAF">
          <w:rPr>
            <w:color w:val="0000FF"/>
            <w:spacing w:val="-1"/>
            <w:sz w:val="24"/>
            <w:u w:val="single" w:color="0000FF"/>
          </w:rPr>
          <w:t>Letter</w:t>
        </w:r>
        <w:r w:rsidR="008A1DAF">
          <w:rPr>
            <w:color w:val="0000FF"/>
            <w:sz w:val="24"/>
            <w:u w:val="single" w:color="0000FF"/>
          </w:rPr>
          <w:t xml:space="preserve"> </w:t>
        </w:r>
        <w:r w:rsidR="008A1DAF">
          <w:rPr>
            <w:color w:val="0000FF"/>
            <w:spacing w:val="-1"/>
            <w:sz w:val="24"/>
            <w:u w:val="single" w:color="0000FF"/>
          </w:rPr>
          <w:t>(TEGL)</w:t>
        </w:r>
        <w:r w:rsidR="008A1DAF">
          <w:rPr>
            <w:color w:val="0000FF"/>
            <w:sz w:val="24"/>
            <w:u w:val="single" w:color="0000FF"/>
          </w:rPr>
          <w:t xml:space="preserve"> 04-20</w:t>
        </w:r>
      </w:hyperlink>
      <w:r w:rsidR="008A1DAF">
        <w:rPr>
          <w:sz w:val="24"/>
        </w:rPr>
        <w:t>,</w:t>
      </w:r>
      <w:r w:rsidR="008A1DAF">
        <w:rPr>
          <w:spacing w:val="-2"/>
          <w:sz w:val="24"/>
        </w:rPr>
        <w:t xml:space="preserve"> </w:t>
      </w:r>
      <w:r w:rsidR="008A1DAF" w:rsidRPr="006C647A">
        <w:rPr>
          <w:rFonts w:cs="Arial"/>
          <w:sz w:val="24"/>
          <w:szCs w:val="24"/>
        </w:rPr>
        <w:t>Guidance on Integrating Services for Trade-Affected Workers under the TAA Program with the WIOA Title I DW Program, October 29, 2020</w:t>
      </w:r>
    </w:p>
    <w:p w14:paraId="63B027D6" w14:textId="22E08FF4" w:rsidR="008A1DAF" w:rsidRPr="00C97F2E" w:rsidRDefault="00657E00" w:rsidP="00DF7FAF">
      <w:pPr>
        <w:widowControl w:val="0"/>
        <w:numPr>
          <w:ilvl w:val="0"/>
          <w:numId w:val="40"/>
        </w:numPr>
        <w:tabs>
          <w:tab w:val="left" w:pos="460"/>
        </w:tabs>
        <w:overflowPunct/>
        <w:autoSpaceDE/>
        <w:autoSpaceDN/>
        <w:adjustRightInd/>
        <w:spacing w:before="29" w:line="266" w:lineRule="exact"/>
        <w:ind w:right="125"/>
        <w:rPr>
          <w:rFonts w:cs="Arial"/>
          <w:color w:val="000000" w:themeColor="text1"/>
          <w:sz w:val="18"/>
          <w:szCs w:val="18"/>
        </w:rPr>
      </w:pPr>
      <w:hyperlink r:id="rId10" w:history="1">
        <w:r w:rsidR="00E51DE7" w:rsidRPr="00C97F2E">
          <w:rPr>
            <w:rStyle w:val="Hyperlink"/>
            <w:spacing w:val="-1"/>
            <w:sz w:val="24"/>
          </w:rPr>
          <w:t>Training and Employment Guidance Letter (TEGL) 24-20</w:t>
        </w:r>
      </w:hyperlink>
      <w:r w:rsidR="00E51DE7">
        <w:t xml:space="preserve">, </w:t>
      </w:r>
      <w:r w:rsidR="00E51DE7" w:rsidRPr="00C97F2E">
        <w:rPr>
          <w:rFonts w:cs="Arial"/>
          <w:sz w:val="24"/>
          <w:szCs w:val="24"/>
        </w:rPr>
        <w:t>Operating Instructions for Implementing the Reversion Provisions of the Amendments to the Trade Act of 1974 Enacted by the Trade Adjustment Assistance Reauthorization Act of 2015.</w:t>
      </w:r>
    </w:p>
    <w:p w14:paraId="7800DAE6" w14:textId="77777777" w:rsidR="008A1DAF" w:rsidRDefault="008A1DAF" w:rsidP="000909A1">
      <w:pPr>
        <w:overflowPunct/>
        <w:spacing w:after="80"/>
        <w:rPr>
          <w:rFonts w:eastAsiaTheme="minorHAnsi" w:cs="Arial"/>
          <w:b/>
          <w:bCs/>
          <w:sz w:val="24"/>
          <w:szCs w:val="24"/>
        </w:rPr>
      </w:pPr>
    </w:p>
    <w:p w14:paraId="28405D45" w14:textId="77777777" w:rsidR="008A1DAF" w:rsidRDefault="008A1DAF" w:rsidP="000909A1">
      <w:pPr>
        <w:overflowPunct/>
        <w:spacing w:after="80"/>
        <w:rPr>
          <w:rFonts w:eastAsiaTheme="minorHAnsi" w:cs="Arial"/>
          <w:b/>
          <w:bCs/>
          <w:sz w:val="24"/>
          <w:szCs w:val="24"/>
        </w:rPr>
      </w:pPr>
    </w:p>
    <w:p w14:paraId="72532DDD" w14:textId="7B3E834F" w:rsidR="00951744" w:rsidRPr="000909A1" w:rsidRDefault="007415E9" w:rsidP="000909A1">
      <w:pPr>
        <w:overflowPunct/>
        <w:spacing w:after="80"/>
        <w:rPr>
          <w:rFonts w:eastAsiaTheme="minorHAnsi" w:cs="Arial"/>
          <w:b/>
          <w:bCs/>
          <w:sz w:val="24"/>
          <w:szCs w:val="24"/>
        </w:rPr>
      </w:pPr>
      <w:r w:rsidRPr="00355DDF">
        <w:rPr>
          <w:rFonts w:eastAsiaTheme="minorHAnsi" w:cs="Arial"/>
          <w:b/>
          <w:bCs/>
          <w:sz w:val="24"/>
          <w:szCs w:val="24"/>
        </w:rPr>
        <w:t xml:space="preserve"> </w:t>
      </w:r>
    </w:p>
    <w:sectPr w:rsidR="00951744" w:rsidRPr="000909A1" w:rsidSect="00D660F4">
      <w:headerReference w:type="default" r:id="rId11"/>
      <w:footerReference w:type="default" r:id="rId12"/>
      <w:headerReference w:type="first" r:id="rId13"/>
      <w:footerReference w:type="first" r:id="rId14"/>
      <w:pgSz w:w="12240" w:h="15840" w:code="1"/>
      <w:pgMar w:top="1584"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5E18" w14:textId="77777777" w:rsidR="00954044" w:rsidRDefault="00954044" w:rsidP="008214C5">
      <w:r>
        <w:separator/>
      </w:r>
    </w:p>
  </w:endnote>
  <w:endnote w:type="continuationSeparator" w:id="0">
    <w:p w14:paraId="3FC46534" w14:textId="77777777" w:rsidR="00954044" w:rsidRDefault="00954044" w:rsidP="0082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48501"/>
      <w:docPartObj>
        <w:docPartGallery w:val="Page Numbers (Top of Page)"/>
        <w:docPartUnique/>
      </w:docPartObj>
    </w:sdtPr>
    <w:sdtEndPr/>
    <w:sdtContent>
      <w:p w14:paraId="71890058" w14:textId="589B8954" w:rsidR="00546B54" w:rsidRPr="006806F8" w:rsidRDefault="006806F8" w:rsidP="006806F8">
        <w:pPr>
          <w:spacing w:before="120"/>
          <w:ind w:right="-72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9F68" w14:textId="77777777" w:rsidR="00951744" w:rsidRDefault="00951744" w:rsidP="00951744">
    <w:pPr>
      <w:ind w:left="-720" w:right="-720"/>
      <w:jc w:val="center"/>
      <w:rPr>
        <w:sz w:val="18"/>
        <w:szCs w:val="18"/>
      </w:rPr>
    </w:pPr>
    <w:r>
      <w:rPr>
        <w:rFonts w:cs="Arial"/>
        <w:sz w:val="18"/>
        <w:szCs w:val="18"/>
      </w:rPr>
      <w:t>The Benton-</w:t>
    </w:r>
    <w:r w:rsidRPr="007B01A1">
      <w:rPr>
        <w:rFonts w:cs="Arial"/>
        <w:sz w:val="18"/>
        <w:szCs w:val="18"/>
      </w:rPr>
      <w:t>Franklin Workforce Development Council</w:t>
    </w:r>
    <w:r>
      <w:rPr>
        <w:rFonts w:cs="Arial"/>
        <w:sz w:val="18"/>
        <w:szCs w:val="18"/>
      </w:rPr>
      <w:t>, TC Futures,</w:t>
    </w:r>
    <w:r w:rsidRPr="007B01A1">
      <w:rPr>
        <w:rFonts w:cs="Arial"/>
        <w:sz w:val="18"/>
        <w:szCs w:val="18"/>
      </w:rPr>
      <w:t xml:space="preserve"> and WorkSource </w:t>
    </w:r>
    <w:r>
      <w:rPr>
        <w:rFonts w:cs="Arial"/>
        <w:sz w:val="18"/>
        <w:szCs w:val="18"/>
      </w:rPr>
      <w:t xml:space="preserve">are equal opportunity employers/programs. </w:t>
    </w:r>
    <w:r w:rsidRPr="007B01A1">
      <w:rPr>
        <w:rFonts w:cs="Arial"/>
        <w:sz w:val="18"/>
        <w:szCs w:val="18"/>
      </w:rPr>
      <w:t xml:space="preserve">Auxiliary aids and services are available upon request </w:t>
    </w:r>
    <w:r>
      <w:rPr>
        <w:rFonts w:cs="Arial"/>
        <w:sz w:val="18"/>
        <w:szCs w:val="18"/>
      </w:rPr>
      <w:t>to</w:t>
    </w:r>
    <w:r w:rsidRPr="007B01A1">
      <w:rPr>
        <w:rFonts w:cs="Arial"/>
        <w:sz w:val="18"/>
        <w:szCs w:val="18"/>
      </w:rPr>
      <w:t xml:space="preserve"> individuals with disabilities.  </w:t>
    </w:r>
    <w:r w:rsidRPr="007B01A1">
      <w:rPr>
        <w:sz w:val="18"/>
        <w:szCs w:val="18"/>
      </w:rPr>
      <w:t>Washington Relay Service:  711</w:t>
    </w:r>
  </w:p>
  <w:sdt>
    <w:sdtPr>
      <w:id w:val="-551622355"/>
      <w:docPartObj>
        <w:docPartGallery w:val="Page Numbers (Top of Page)"/>
        <w:docPartUnique/>
      </w:docPartObj>
    </w:sdtPr>
    <w:sdtEndPr/>
    <w:sdtContent>
      <w:p w14:paraId="5FB59B59" w14:textId="77777777" w:rsidR="00F85188" w:rsidRPr="006806F8" w:rsidRDefault="00F85188" w:rsidP="00F85188">
        <w:pPr>
          <w:spacing w:before="120"/>
          <w:ind w:right="-72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p w14:paraId="2FE4AB67" w14:textId="77777777" w:rsidR="00951744" w:rsidRDefault="00951744" w:rsidP="00F85188">
    <w:pPr>
      <w:pStyle w:val="Footer"/>
      <w:tabs>
        <w:tab w:val="clear" w:pos="9360"/>
      </w:tabs>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A2AC" w14:textId="77777777" w:rsidR="00954044" w:rsidRDefault="00954044" w:rsidP="008214C5">
      <w:r>
        <w:separator/>
      </w:r>
    </w:p>
  </w:footnote>
  <w:footnote w:type="continuationSeparator" w:id="0">
    <w:p w14:paraId="0AF239A6" w14:textId="77777777" w:rsidR="00954044" w:rsidRDefault="00954044" w:rsidP="0082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0042" w14:textId="3D03051B" w:rsidR="00B46741" w:rsidRPr="000208D8" w:rsidRDefault="00EA49D1" w:rsidP="00B46741">
    <w:pPr>
      <w:pStyle w:val="Header"/>
      <w:jc w:val="center"/>
      <w:rPr>
        <w:b/>
      </w:rPr>
    </w:pPr>
    <w:r>
      <w:rPr>
        <w:b/>
        <w:noProof/>
      </w:rPr>
      <w:drawing>
        <wp:anchor distT="0" distB="0" distL="114300" distR="114300" simplePos="0" relativeHeight="251658240" behindDoc="1" locked="0" layoutInCell="1" allowOverlap="1" wp14:anchorId="37E7B91F" wp14:editId="077725F0">
          <wp:simplePos x="0" y="0"/>
          <wp:positionH relativeFrom="margin">
            <wp:posOffset>2993814</wp:posOffset>
          </wp:positionH>
          <wp:positionV relativeFrom="topMargin">
            <wp:posOffset>109009</wp:posOffset>
          </wp:positionV>
          <wp:extent cx="2788920" cy="812772"/>
          <wp:effectExtent l="0" t="0" r="0" b="0"/>
          <wp:wrapSquare wrapText="bothSides"/>
          <wp:docPr id="9" name="Picture 9"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8920" cy="8127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C265" w14:textId="4C3F8E69" w:rsidR="00951744" w:rsidRDefault="00951744">
    <w:pPr>
      <w:pStyle w:val="Header"/>
    </w:pPr>
    <w:r>
      <w:rPr>
        <w:b/>
        <w:noProof/>
      </w:rPr>
      <w:drawing>
        <wp:anchor distT="0" distB="0" distL="114300" distR="114300" simplePos="0" relativeHeight="251660288" behindDoc="1" locked="0" layoutInCell="1" allowOverlap="1" wp14:anchorId="3D472B16" wp14:editId="3D1D013D">
          <wp:simplePos x="0" y="0"/>
          <wp:positionH relativeFrom="margin">
            <wp:align>right</wp:align>
          </wp:positionH>
          <wp:positionV relativeFrom="page">
            <wp:posOffset>91440</wp:posOffset>
          </wp:positionV>
          <wp:extent cx="2640851" cy="769620"/>
          <wp:effectExtent l="0" t="0" r="7620" b="0"/>
          <wp:wrapSquare wrapText="bothSides"/>
          <wp:docPr id="123" name="Picture 12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0851" cy="769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996"/>
    <w:multiLevelType w:val="hybridMultilevel"/>
    <w:tmpl w:val="7C00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2EB2"/>
    <w:multiLevelType w:val="hybridMultilevel"/>
    <w:tmpl w:val="B374DD4E"/>
    <w:lvl w:ilvl="0" w:tplc="CBC2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6F873A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CA6"/>
    <w:multiLevelType w:val="hybridMultilevel"/>
    <w:tmpl w:val="DCECF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6226"/>
    <w:multiLevelType w:val="hybridMultilevel"/>
    <w:tmpl w:val="7820F706"/>
    <w:lvl w:ilvl="0" w:tplc="CBC2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D7023"/>
    <w:multiLevelType w:val="multilevel"/>
    <w:tmpl w:val="EB8CE570"/>
    <w:lvl w:ilvl="0">
      <w:start w:val="1"/>
      <w:numFmt w:val="upperLetter"/>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F747DCD"/>
    <w:multiLevelType w:val="hybridMultilevel"/>
    <w:tmpl w:val="06EE1C4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176424"/>
    <w:multiLevelType w:val="hybridMultilevel"/>
    <w:tmpl w:val="B3AEBB66"/>
    <w:lvl w:ilvl="0" w:tplc="E654C936">
      <w:start w:val="1"/>
      <w:numFmt w:val="decimal"/>
      <w:lvlText w:val="%1."/>
      <w:lvlJc w:val="left"/>
      <w:pPr>
        <w:ind w:left="720" w:hanging="360"/>
      </w:pPr>
      <w:rPr>
        <w:rFonts w:ascii="Arial" w:hAnsi="Arial" w:cs="Aria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E7F7E"/>
    <w:multiLevelType w:val="multilevel"/>
    <w:tmpl w:val="B784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842E48"/>
    <w:multiLevelType w:val="hybridMultilevel"/>
    <w:tmpl w:val="89A8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50F39"/>
    <w:multiLevelType w:val="multilevel"/>
    <w:tmpl w:val="4E08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F32405"/>
    <w:multiLevelType w:val="hybridMultilevel"/>
    <w:tmpl w:val="29FAB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924899"/>
    <w:multiLevelType w:val="hybridMultilevel"/>
    <w:tmpl w:val="EBDC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B0A22"/>
    <w:multiLevelType w:val="hybridMultilevel"/>
    <w:tmpl w:val="4772663E"/>
    <w:lvl w:ilvl="0" w:tplc="F648AA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379F5"/>
    <w:multiLevelType w:val="hybridMultilevel"/>
    <w:tmpl w:val="DA9C5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D7722A"/>
    <w:multiLevelType w:val="hybridMultilevel"/>
    <w:tmpl w:val="B374DD4E"/>
    <w:lvl w:ilvl="0" w:tplc="CBC2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6F873A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F5D6E"/>
    <w:multiLevelType w:val="multilevel"/>
    <w:tmpl w:val="213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B024A"/>
    <w:multiLevelType w:val="hybridMultilevel"/>
    <w:tmpl w:val="E806F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A5989"/>
    <w:multiLevelType w:val="hybridMultilevel"/>
    <w:tmpl w:val="56A8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130974"/>
    <w:multiLevelType w:val="hybridMultilevel"/>
    <w:tmpl w:val="B5DE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F398F"/>
    <w:multiLevelType w:val="hybridMultilevel"/>
    <w:tmpl w:val="4266D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8C35BF"/>
    <w:multiLevelType w:val="hybridMultilevel"/>
    <w:tmpl w:val="5A12D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D137A"/>
    <w:multiLevelType w:val="hybridMultilevel"/>
    <w:tmpl w:val="58E26D92"/>
    <w:lvl w:ilvl="0" w:tplc="AF76C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B73FA3"/>
    <w:multiLevelType w:val="hybridMultilevel"/>
    <w:tmpl w:val="C8948E6A"/>
    <w:lvl w:ilvl="0" w:tplc="09708BB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025F7"/>
    <w:multiLevelType w:val="hybridMultilevel"/>
    <w:tmpl w:val="007A8586"/>
    <w:lvl w:ilvl="0" w:tplc="CBC282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151C5"/>
    <w:multiLevelType w:val="hybridMultilevel"/>
    <w:tmpl w:val="6D469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1E7009"/>
    <w:multiLevelType w:val="multilevel"/>
    <w:tmpl w:val="B20C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DD02A5"/>
    <w:multiLevelType w:val="hybridMultilevel"/>
    <w:tmpl w:val="4C9C7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E778B7"/>
    <w:multiLevelType w:val="hybridMultilevel"/>
    <w:tmpl w:val="0F32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2511C"/>
    <w:multiLevelType w:val="hybridMultilevel"/>
    <w:tmpl w:val="B894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77404"/>
    <w:multiLevelType w:val="hybridMultilevel"/>
    <w:tmpl w:val="AB18580E"/>
    <w:lvl w:ilvl="0" w:tplc="CBC2829C">
      <w:start w:val="1"/>
      <w:numFmt w:val="decimal"/>
      <w:lvlText w:val="%1."/>
      <w:lvlJc w:val="left"/>
      <w:pPr>
        <w:ind w:left="720" w:hanging="360"/>
      </w:pPr>
      <w:rPr>
        <w:rFonts w:hint="default"/>
        <w:b w:val="0"/>
      </w:rPr>
    </w:lvl>
    <w:lvl w:ilvl="1" w:tplc="6206D6DE">
      <w:start w:val="1"/>
      <w:numFmt w:val="lowerLetter"/>
      <w:lvlText w:val="%2."/>
      <w:lvlJc w:val="left"/>
      <w:pPr>
        <w:ind w:left="1440" w:hanging="360"/>
      </w:pPr>
      <w:rPr>
        <w:b/>
        <w:bCs/>
      </w:rPr>
    </w:lvl>
    <w:lvl w:ilvl="2" w:tplc="76F873A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B4B8D"/>
    <w:multiLevelType w:val="hybridMultilevel"/>
    <w:tmpl w:val="B374DD4E"/>
    <w:lvl w:ilvl="0" w:tplc="CBC2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6F873A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B1C4D"/>
    <w:multiLevelType w:val="hybridMultilevel"/>
    <w:tmpl w:val="B374DD4E"/>
    <w:lvl w:ilvl="0" w:tplc="CBC2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6F873A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035C0"/>
    <w:multiLevelType w:val="multilevel"/>
    <w:tmpl w:val="6A3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3F5835"/>
    <w:multiLevelType w:val="hybridMultilevel"/>
    <w:tmpl w:val="D1AAF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95013"/>
    <w:multiLevelType w:val="hybridMultilevel"/>
    <w:tmpl w:val="D26AEA58"/>
    <w:lvl w:ilvl="0" w:tplc="F6AA913A">
      <w:start w:val="1"/>
      <w:numFmt w:val="decimal"/>
      <w:lvlText w:val="%1."/>
      <w:lvlJc w:val="left"/>
      <w:pPr>
        <w:ind w:left="720" w:hanging="360"/>
      </w:pPr>
      <w:rPr>
        <w:rFonts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94DA9"/>
    <w:multiLevelType w:val="hybridMultilevel"/>
    <w:tmpl w:val="0CF6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15389"/>
    <w:multiLevelType w:val="hybridMultilevel"/>
    <w:tmpl w:val="009C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4A03BA"/>
    <w:multiLevelType w:val="multilevel"/>
    <w:tmpl w:val="6514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84311C"/>
    <w:multiLevelType w:val="hybridMultilevel"/>
    <w:tmpl w:val="535A39FE"/>
    <w:lvl w:ilvl="0" w:tplc="1AF0B9F2">
      <w:start w:val="1"/>
      <w:numFmt w:val="bullet"/>
      <w:lvlText w:val=""/>
      <w:lvlJc w:val="left"/>
      <w:pPr>
        <w:ind w:left="460" w:hanging="360"/>
      </w:pPr>
      <w:rPr>
        <w:rFonts w:ascii="Symbol" w:eastAsia="Symbol" w:hAnsi="Symbol" w:hint="default"/>
        <w:sz w:val="24"/>
        <w:szCs w:val="24"/>
      </w:rPr>
    </w:lvl>
    <w:lvl w:ilvl="1" w:tplc="E7F093E6">
      <w:start w:val="1"/>
      <w:numFmt w:val="bullet"/>
      <w:lvlText w:val="•"/>
      <w:lvlJc w:val="left"/>
      <w:pPr>
        <w:ind w:left="1512" w:hanging="360"/>
      </w:pPr>
      <w:rPr>
        <w:rFonts w:hint="default"/>
      </w:rPr>
    </w:lvl>
    <w:lvl w:ilvl="2" w:tplc="4CAE212C">
      <w:start w:val="1"/>
      <w:numFmt w:val="bullet"/>
      <w:lvlText w:val="•"/>
      <w:lvlJc w:val="left"/>
      <w:pPr>
        <w:ind w:left="2564" w:hanging="360"/>
      </w:pPr>
      <w:rPr>
        <w:rFonts w:hint="default"/>
      </w:rPr>
    </w:lvl>
    <w:lvl w:ilvl="3" w:tplc="D6E23D52">
      <w:start w:val="1"/>
      <w:numFmt w:val="bullet"/>
      <w:lvlText w:val="•"/>
      <w:lvlJc w:val="left"/>
      <w:pPr>
        <w:ind w:left="3616" w:hanging="360"/>
      </w:pPr>
      <w:rPr>
        <w:rFonts w:hint="default"/>
      </w:rPr>
    </w:lvl>
    <w:lvl w:ilvl="4" w:tplc="DE9A6F38">
      <w:start w:val="1"/>
      <w:numFmt w:val="bullet"/>
      <w:lvlText w:val="•"/>
      <w:lvlJc w:val="left"/>
      <w:pPr>
        <w:ind w:left="4668" w:hanging="360"/>
      </w:pPr>
      <w:rPr>
        <w:rFonts w:hint="default"/>
      </w:rPr>
    </w:lvl>
    <w:lvl w:ilvl="5" w:tplc="3CC856F6">
      <w:start w:val="1"/>
      <w:numFmt w:val="bullet"/>
      <w:lvlText w:val="•"/>
      <w:lvlJc w:val="left"/>
      <w:pPr>
        <w:ind w:left="5720" w:hanging="360"/>
      </w:pPr>
      <w:rPr>
        <w:rFonts w:hint="default"/>
      </w:rPr>
    </w:lvl>
    <w:lvl w:ilvl="6" w:tplc="A27E4F58">
      <w:start w:val="1"/>
      <w:numFmt w:val="bullet"/>
      <w:lvlText w:val="•"/>
      <w:lvlJc w:val="left"/>
      <w:pPr>
        <w:ind w:left="6772" w:hanging="360"/>
      </w:pPr>
      <w:rPr>
        <w:rFonts w:hint="default"/>
      </w:rPr>
    </w:lvl>
    <w:lvl w:ilvl="7" w:tplc="62EEA254">
      <w:start w:val="1"/>
      <w:numFmt w:val="bullet"/>
      <w:lvlText w:val="•"/>
      <w:lvlJc w:val="left"/>
      <w:pPr>
        <w:ind w:left="7824" w:hanging="360"/>
      </w:pPr>
      <w:rPr>
        <w:rFonts w:hint="default"/>
      </w:rPr>
    </w:lvl>
    <w:lvl w:ilvl="8" w:tplc="D922860C">
      <w:start w:val="1"/>
      <w:numFmt w:val="bullet"/>
      <w:lvlText w:val="•"/>
      <w:lvlJc w:val="left"/>
      <w:pPr>
        <w:ind w:left="8876" w:hanging="360"/>
      </w:pPr>
      <w:rPr>
        <w:rFonts w:hint="default"/>
      </w:rPr>
    </w:lvl>
  </w:abstractNum>
  <w:num w:numId="1" w16cid:durableId="570431572">
    <w:abstractNumId w:val="3"/>
  </w:num>
  <w:num w:numId="2" w16cid:durableId="419254368">
    <w:abstractNumId w:val="26"/>
  </w:num>
  <w:num w:numId="3" w16cid:durableId="872038569">
    <w:abstractNumId w:val="11"/>
  </w:num>
  <w:num w:numId="4" w16cid:durableId="1627735509">
    <w:abstractNumId w:val="17"/>
  </w:num>
  <w:num w:numId="5" w16cid:durableId="1827474623">
    <w:abstractNumId w:val="21"/>
  </w:num>
  <w:num w:numId="6" w16cid:durableId="1437099454">
    <w:abstractNumId w:val="28"/>
  </w:num>
  <w:num w:numId="7" w16cid:durableId="2037921262">
    <w:abstractNumId w:val="33"/>
  </w:num>
  <w:num w:numId="8" w16cid:durableId="2017994294">
    <w:abstractNumId w:val="27"/>
  </w:num>
  <w:num w:numId="9" w16cid:durableId="65957047">
    <w:abstractNumId w:val="23"/>
  </w:num>
  <w:num w:numId="10" w16cid:durableId="1290359494">
    <w:abstractNumId w:val="35"/>
  </w:num>
  <w:num w:numId="11" w16cid:durableId="17642964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4397976">
    <w:abstractNumId w:val="36"/>
  </w:num>
  <w:num w:numId="13" w16cid:durableId="1098480916">
    <w:abstractNumId w:val="19"/>
  </w:num>
  <w:num w:numId="14" w16cid:durableId="1222983729">
    <w:abstractNumId w:val="10"/>
  </w:num>
  <w:num w:numId="15" w16cid:durableId="557741657">
    <w:abstractNumId w:val="24"/>
  </w:num>
  <w:num w:numId="16" w16cid:durableId="628630350">
    <w:abstractNumId w:val="13"/>
  </w:num>
  <w:num w:numId="17" w16cid:durableId="1292395748">
    <w:abstractNumId w:val="15"/>
  </w:num>
  <w:num w:numId="18" w16cid:durableId="1734040137">
    <w:abstractNumId w:val="25"/>
  </w:num>
  <w:num w:numId="19" w16cid:durableId="888734033">
    <w:abstractNumId w:val="37"/>
  </w:num>
  <w:num w:numId="20" w16cid:durableId="1616016466">
    <w:abstractNumId w:val="32"/>
  </w:num>
  <w:num w:numId="21" w16cid:durableId="1051882656">
    <w:abstractNumId w:val="7"/>
  </w:num>
  <w:num w:numId="22" w16cid:durableId="1799378390">
    <w:abstractNumId w:val="9"/>
  </w:num>
  <w:num w:numId="23" w16cid:durableId="1543595254">
    <w:abstractNumId w:val="2"/>
  </w:num>
  <w:num w:numId="24" w16cid:durableId="1246501312">
    <w:abstractNumId w:val="20"/>
  </w:num>
  <w:num w:numId="25" w16cid:durableId="276066750">
    <w:abstractNumId w:val="16"/>
  </w:num>
  <w:num w:numId="26" w16cid:durableId="177165113">
    <w:abstractNumId w:val="18"/>
  </w:num>
  <w:num w:numId="27" w16cid:durableId="1469127131">
    <w:abstractNumId w:val="5"/>
  </w:num>
  <w:num w:numId="28" w16cid:durableId="1871527977">
    <w:abstractNumId w:val="29"/>
  </w:num>
  <w:num w:numId="29" w16cid:durableId="1897201795">
    <w:abstractNumId w:val="31"/>
  </w:num>
  <w:num w:numId="30" w16cid:durableId="378939250">
    <w:abstractNumId w:val="14"/>
  </w:num>
  <w:num w:numId="31" w16cid:durableId="1206480265">
    <w:abstractNumId w:val="1"/>
  </w:num>
  <w:num w:numId="32" w16cid:durableId="1842969157">
    <w:abstractNumId w:val="8"/>
  </w:num>
  <w:num w:numId="33" w16cid:durableId="887491597">
    <w:abstractNumId w:val="30"/>
  </w:num>
  <w:num w:numId="34" w16cid:durableId="69935253">
    <w:abstractNumId w:val="4"/>
  </w:num>
  <w:num w:numId="35" w16cid:durableId="442648392">
    <w:abstractNumId w:val="0"/>
  </w:num>
  <w:num w:numId="36" w16cid:durableId="1801726094">
    <w:abstractNumId w:val="12"/>
  </w:num>
  <w:num w:numId="37" w16cid:durableId="208228186">
    <w:abstractNumId w:val="6"/>
  </w:num>
  <w:num w:numId="38" w16cid:durableId="1851483292">
    <w:abstractNumId w:val="22"/>
  </w:num>
  <w:num w:numId="39" w16cid:durableId="930163876">
    <w:abstractNumId w:val="34"/>
  </w:num>
  <w:num w:numId="40" w16cid:durableId="1299334156">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yNzIzMDMzNzW1tDRQ0lEKTi0uzszPAykwMq4FAKe+ERstAAAA"/>
  </w:docVars>
  <w:rsids>
    <w:rsidRoot w:val="005E3129"/>
    <w:rsid w:val="00006A61"/>
    <w:rsid w:val="000125A9"/>
    <w:rsid w:val="00013555"/>
    <w:rsid w:val="00015320"/>
    <w:rsid w:val="00015E63"/>
    <w:rsid w:val="00020200"/>
    <w:rsid w:val="00022BBA"/>
    <w:rsid w:val="00023BD2"/>
    <w:rsid w:val="00026988"/>
    <w:rsid w:val="00026B15"/>
    <w:rsid w:val="000273CF"/>
    <w:rsid w:val="00036D6F"/>
    <w:rsid w:val="00037927"/>
    <w:rsid w:val="00040D47"/>
    <w:rsid w:val="00041A71"/>
    <w:rsid w:val="00044D1D"/>
    <w:rsid w:val="00045CD4"/>
    <w:rsid w:val="000530BB"/>
    <w:rsid w:val="00054B08"/>
    <w:rsid w:val="00055BE8"/>
    <w:rsid w:val="00056731"/>
    <w:rsid w:val="0006012A"/>
    <w:rsid w:val="0006175E"/>
    <w:rsid w:val="000840C1"/>
    <w:rsid w:val="00085ECD"/>
    <w:rsid w:val="00087AAA"/>
    <w:rsid w:val="00087DE6"/>
    <w:rsid w:val="000909A1"/>
    <w:rsid w:val="0009390D"/>
    <w:rsid w:val="00096C77"/>
    <w:rsid w:val="00096D11"/>
    <w:rsid w:val="00097130"/>
    <w:rsid w:val="000A31F8"/>
    <w:rsid w:val="000B0D77"/>
    <w:rsid w:val="000B12E9"/>
    <w:rsid w:val="000B13B2"/>
    <w:rsid w:val="000B56D2"/>
    <w:rsid w:val="000B707C"/>
    <w:rsid w:val="000C52DF"/>
    <w:rsid w:val="000C6A5A"/>
    <w:rsid w:val="000D3F7C"/>
    <w:rsid w:val="000D5677"/>
    <w:rsid w:val="000D7AEB"/>
    <w:rsid w:val="000E2C93"/>
    <w:rsid w:val="000E3147"/>
    <w:rsid w:val="000E4AF8"/>
    <w:rsid w:val="000F1379"/>
    <w:rsid w:val="000F205A"/>
    <w:rsid w:val="000F79F1"/>
    <w:rsid w:val="000F7EF1"/>
    <w:rsid w:val="0010058E"/>
    <w:rsid w:val="00106014"/>
    <w:rsid w:val="001106D8"/>
    <w:rsid w:val="00110EA3"/>
    <w:rsid w:val="00112C7A"/>
    <w:rsid w:val="00112C7E"/>
    <w:rsid w:val="001144A1"/>
    <w:rsid w:val="001221A2"/>
    <w:rsid w:val="00127DFC"/>
    <w:rsid w:val="00130E6F"/>
    <w:rsid w:val="00133358"/>
    <w:rsid w:val="00133DAE"/>
    <w:rsid w:val="00136A6B"/>
    <w:rsid w:val="00141FFB"/>
    <w:rsid w:val="0014282F"/>
    <w:rsid w:val="0014444E"/>
    <w:rsid w:val="001451B6"/>
    <w:rsid w:val="00145D28"/>
    <w:rsid w:val="00147EDF"/>
    <w:rsid w:val="00156824"/>
    <w:rsid w:val="00171104"/>
    <w:rsid w:val="0017546D"/>
    <w:rsid w:val="00177CF0"/>
    <w:rsid w:val="00177EC0"/>
    <w:rsid w:val="001824D4"/>
    <w:rsid w:val="00182898"/>
    <w:rsid w:val="00182949"/>
    <w:rsid w:val="0018766C"/>
    <w:rsid w:val="00191DE3"/>
    <w:rsid w:val="001929DA"/>
    <w:rsid w:val="001A2FFD"/>
    <w:rsid w:val="001A3C30"/>
    <w:rsid w:val="001A415B"/>
    <w:rsid w:val="001A52D8"/>
    <w:rsid w:val="001A66A5"/>
    <w:rsid w:val="001B2769"/>
    <w:rsid w:val="001C0309"/>
    <w:rsid w:val="001D1872"/>
    <w:rsid w:val="001F0E60"/>
    <w:rsid w:val="001F3CD8"/>
    <w:rsid w:val="001F48FC"/>
    <w:rsid w:val="001F5CDB"/>
    <w:rsid w:val="001F70FA"/>
    <w:rsid w:val="00200C6C"/>
    <w:rsid w:val="00202B34"/>
    <w:rsid w:val="002067FB"/>
    <w:rsid w:val="00207F03"/>
    <w:rsid w:val="0021000D"/>
    <w:rsid w:val="00221CB9"/>
    <w:rsid w:val="00223DE5"/>
    <w:rsid w:val="0022630E"/>
    <w:rsid w:val="00227917"/>
    <w:rsid w:val="00227C5B"/>
    <w:rsid w:val="00227E51"/>
    <w:rsid w:val="0023432A"/>
    <w:rsid w:val="00234787"/>
    <w:rsid w:val="00234F08"/>
    <w:rsid w:val="002355BC"/>
    <w:rsid w:val="00245274"/>
    <w:rsid w:val="002511DF"/>
    <w:rsid w:val="002543E8"/>
    <w:rsid w:val="00261526"/>
    <w:rsid w:val="00261AC4"/>
    <w:rsid w:val="0026505D"/>
    <w:rsid w:val="002702A9"/>
    <w:rsid w:val="002758CA"/>
    <w:rsid w:val="00275A3C"/>
    <w:rsid w:val="0027725D"/>
    <w:rsid w:val="00280ABF"/>
    <w:rsid w:val="00282671"/>
    <w:rsid w:val="002856CA"/>
    <w:rsid w:val="00286B62"/>
    <w:rsid w:val="0029132E"/>
    <w:rsid w:val="002A26FF"/>
    <w:rsid w:val="002A799A"/>
    <w:rsid w:val="002B0A6A"/>
    <w:rsid w:val="002B0E70"/>
    <w:rsid w:val="002B231D"/>
    <w:rsid w:val="002B47F8"/>
    <w:rsid w:val="002C0F75"/>
    <w:rsid w:val="002C3F2B"/>
    <w:rsid w:val="002C44EC"/>
    <w:rsid w:val="002C49B8"/>
    <w:rsid w:val="002C4F12"/>
    <w:rsid w:val="002C5048"/>
    <w:rsid w:val="002E6BE8"/>
    <w:rsid w:val="002F1E33"/>
    <w:rsid w:val="002F253A"/>
    <w:rsid w:val="002F28D5"/>
    <w:rsid w:val="002F4B3B"/>
    <w:rsid w:val="002F56CE"/>
    <w:rsid w:val="002F63A7"/>
    <w:rsid w:val="002F7A55"/>
    <w:rsid w:val="00300B66"/>
    <w:rsid w:val="00300CD0"/>
    <w:rsid w:val="00302530"/>
    <w:rsid w:val="003041A1"/>
    <w:rsid w:val="00305381"/>
    <w:rsid w:val="003056ED"/>
    <w:rsid w:val="00311111"/>
    <w:rsid w:val="003119C9"/>
    <w:rsid w:val="0031287E"/>
    <w:rsid w:val="00316ABD"/>
    <w:rsid w:val="003207FA"/>
    <w:rsid w:val="003265DF"/>
    <w:rsid w:val="003274C7"/>
    <w:rsid w:val="00330A4C"/>
    <w:rsid w:val="00343813"/>
    <w:rsid w:val="00347461"/>
    <w:rsid w:val="003478AF"/>
    <w:rsid w:val="003558DD"/>
    <w:rsid w:val="00355DDF"/>
    <w:rsid w:val="0035689B"/>
    <w:rsid w:val="00371412"/>
    <w:rsid w:val="003854B1"/>
    <w:rsid w:val="003A1852"/>
    <w:rsid w:val="003A6EFB"/>
    <w:rsid w:val="003B46BC"/>
    <w:rsid w:val="003B5E98"/>
    <w:rsid w:val="003B6FF6"/>
    <w:rsid w:val="003B7A80"/>
    <w:rsid w:val="003C09D6"/>
    <w:rsid w:val="003C31D7"/>
    <w:rsid w:val="003D1285"/>
    <w:rsid w:val="003D45D3"/>
    <w:rsid w:val="003E3260"/>
    <w:rsid w:val="003E6007"/>
    <w:rsid w:val="003F3019"/>
    <w:rsid w:val="003F4666"/>
    <w:rsid w:val="003F760F"/>
    <w:rsid w:val="004139AE"/>
    <w:rsid w:val="0041699F"/>
    <w:rsid w:val="00424028"/>
    <w:rsid w:val="004308B7"/>
    <w:rsid w:val="00431C5C"/>
    <w:rsid w:val="00440FA9"/>
    <w:rsid w:val="00442A77"/>
    <w:rsid w:val="004440DA"/>
    <w:rsid w:val="004451B4"/>
    <w:rsid w:val="004645D8"/>
    <w:rsid w:val="00472AAE"/>
    <w:rsid w:val="004741C7"/>
    <w:rsid w:val="00474C81"/>
    <w:rsid w:val="00475456"/>
    <w:rsid w:val="0048126A"/>
    <w:rsid w:val="00492E25"/>
    <w:rsid w:val="00497602"/>
    <w:rsid w:val="004978B3"/>
    <w:rsid w:val="004A059D"/>
    <w:rsid w:val="004A75CA"/>
    <w:rsid w:val="004B0400"/>
    <w:rsid w:val="004B1961"/>
    <w:rsid w:val="004B54F9"/>
    <w:rsid w:val="004C03A6"/>
    <w:rsid w:val="004C337C"/>
    <w:rsid w:val="004C628F"/>
    <w:rsid w:val="004C6F66"/>
    <w:rsid w:val="004C7E1F"/>
    <w:rsid w:val="004D050C"/>
    <w:rsid w:val="004D5538"/>
    <w:rsid w:val="004E02D9"/>
    <w:rsid w:val="004E124E"/>
    <w:rsid w:val="004E2D40"/>
    <w:rsid w:val="004E4D19"/>
    <w:rsid w:val="004E53A7"/>
    <w:rsid w:val="004F0C1B"/>
    <w:rsid w:val="004F76B5"/>
    <w:rsid w:val="0051001A"/>
    <w:rsid w:val="00512CAD"/>
    <w:rsid w:val="00515016"/>
    <w:rsid w:val="00526F35"/>
    <w:rsid w:val="00535BFB"/>
    <w:rsid w:val="00546B54"/>
    <w:rsid w:val="00550F2A"/>
    <w:rsid w:val="00552E8D"/>
    <w:rsid w:val="005608E0"/>
    <w:rsid w:val="00575BFD"/>
    <w:rsid w:val="00585D92"/>
    <w:rsid w:val="005879DC"/>
    <w:rsid w:val="0059326D"/>
    <w:rsid w:val="005946C9"/>
    <w:rsid w:val="00596420"/>
    <w:rsid w:val="00597630"/>
    <w:rsid w:val="005A0073"/>
    <w:rsid w:val="005A04A4"/>
    <w:rsid w:val="005A103C"/>
    <w:rsid w:val="005A27CD"/>
    <w:rsid w:val="005A4FBD"/>
    <w:rsid w:val="005A6CEE"/>
    <w:rsid w:val="005A6DD1"/>
    <w:rsid w:val="005B2CBF"/>
    <w:rsid w:val="005C4002"/>
    <w:rsid w:val="005C50BF"/>
    <w:rsid w:val="005C6650"/>
    <w:rsid w:val="005C67A7"/>
    <w:rsid w:val="005D0457"/>
    <w:rsid w:val="005D22AE"/>
    <w:rsid w:val="005D3772"/>
    <w:rsid w:val="005D7B35"/>
    <w:rsid w:val="005E18C8"/>
    <w:rsid w:val="005E3129"/>
    <w:rsid w:val="005E5862"/>
    <w:rsid w:val="005F16C4"/>
    <w:rsid w:val="005F6B64"/>
    <w:rsid w:val="005F74A0"/>
    <w:rsid w:val="005F7B4C"/>
    <w:rsid w:val="0060089A"/>
    <w:rsid w:val="00600FD1"/>
    <w:rsid w:val="006119A1"/>
    <w:rsid w:val="0061514A"/>
    <w:rsid w:val="00615D19"/>
    <w:rsid w:val="00617F6E"/>
    <w:rsid w:val="00621FA5"/>
    <w:rsid w:val="006235F5"/>
    <w:rsid w:val="00623B59"/>
    <w:rsid w:val="0063129E"/>
    <w:rsid w:val="006333E0"/>
    <w:rsid w:val="0063588E"/>
    <w:rsid w:val="00636669"/>
    <w:rsid w:val="00643207"/>
    <w:rsid w:val="00647B7F"/>
    <w:rsid w:val="0065039B"/>
    <w:rsid w:val="006511D2"/>
    <w:rsid w:val="006557FB"/>
    <w:rsid w:val="00657E00"/>
    <w:rsid w:val="006625FA"/>
    <w:rsid w:val="0066411A"/>
    <w:rsid w:val="00667462"/>
    <w:rsid w:val="0066792C"/>
    <w:rsid w:val="006719ED"/>
    <w:rsid w:val="0067593F"/>
    <w:rsid w:val="00676EE4"/>
    <w:rsid w:val="00677E41"/>
    <w:rsid w:val="006806F8"/>
    <w:rsid w:val="006811B8"/>
    <w:rsid w:val="00681A27"/>
    <w:rsid w:val="00681D09"/>
    <w:rsid w:val="00684933"/>
    <w:rsid w:val="00684C13"/>
    <w:rsid w:val="00685983"/>
    <w:rsid w:val="00686C7D"/>
    <w:rsid w:val="006940D1"/>
    <w:rsid w:val="006953A8"/>
    <w:rsid w:val="006970E0"/>
    <w:rsid w:val="006971FC"/>
    <w:rsid w:val="006B23E6"/>
    <w:rsid w:val="006B5B84"/>
    <w:rsid w:val="006B6F86"/>
    <w:rsid w:val="006D1412"/>
    <w:rsid w:val="006D1940"/>
    <w:rsid w:val="006D73ED"/>
    <w:rsid w:val="006D74CD"/>
    <w:rsid w:val="006D77B4"/>
    <w:rsid w:val="006E36EE"/>
    <w:rsid w:val="006F13DE"/>
    <w:rsid w:val="00715D3F"/>
    <w:rsid w:val="007179DA"/>
    <w:rsid w:val="00720494"/>
    <w:rsid w:val="00720A01"/>
    <w:rsid w:val="00722EF6"/>
    <w:rsid w:val="007245AA"/>
    <w:rsid w:val="007254DC"/>
    <w:rsid w:val="00726956"/>
    <w:rsid w:val="00734786"/>
    <w:rsid w:val="007347C9"/>
    <w:rsid w:val="007415E9"/>
    <w:rsid w:val="0074264A"/>
    <w:rsid w:val="00746BE4"/>
    <w:rsid w:val="00752ECC"/>
    <w:rsid w:val="00754FB5"/>
    <w:rsid w:val="0077749C"/>
    <w:rsid w:val="007776D4"/>
    <w:rsid w:val="00784A85"/>
    <w:rsid w:val="00786260"/>
    <w:rsid w:val="00786284"/>
    <w:rsid w:val="00791189"/>
    <w:rsid w:val="00795F13"/>
    <w:rsid w:val="007A11EB"/>
    <w:rsid w:val="007A68AB"/>
    <w:rsid w:val="007B01A1"/>
    <w:rsid w:val="007B475C"/>
    <w:rsid w:val="007B5F0F"/>
    <w:rsid w:val="007D140D"/>
    <w:rsid w:val="007D20B9"/>
    <w:rsid w:val="007D54D4"/>
    <w:rsid w:val="007E23F2"/>
    <w:rsid w:val="007E4126"/>
    <w:rsid w:val="007F35F1"/>
    <w:rsid w:val="007F5509"/>
    <w:rsid w:val="007F7B98"/>
    <w:rsid w:val="0080133B"/>
    <w:rsid w:val="0080198A"/>
    <w:rsid w:val="008036C0"/>
    <w:rsid w:val="00807B2A"/>
    <w:rsid w:val="008120F0"/>
    <w:rsid w:val="008143BE"/>
    <w:rsid w:val="008150A7"/>
    <w:rsid w:val="008214C5"/>
    <w:rsid w:val="00832809"/>
    <w:rsid w:val="00835EF6"/>
    <w:rsid w:val="00846718"/>
    <w:rsid w:val="0085073A"/>
    <w:rsid w:val="008547E8"/>
    <w:rsid w:val="008625CE"/>
    <w:rsid w:val="00863E31"/>
    <w:rsid w:val="00864FF6"/>
    <w:rsid w:val="00867E77"/>
    <w:rsid w:val="00870379"/>
    <w:rsid w:val="00870AD9"/>
    <w:rsid w:val="00871E64"/>
    <w:rsid w:val="00874684"/>
    <w:rsid w:val="00875EBB"/>
    <w:rsid w:val="008764A7"/>
    <w:rsid w:val="00877AE3"/>
    <w:rsid w:val="008845E2"/>
    <w:rsid w:val="008866FE"/>
    <w:rsid w:val="00886B03"/>
    <w:rsid w:val="008902FA"/>
    <w:rsid w:val="0089560E"/>
    <w:rsid w:val="00897154"/>
    <w:rsid w:val="00897279"/>
    <w:rsid w:val="008A1DAF"/>
    <w:rsid w:val="008A2147"/>
    <w:rsid w:val="008A466B"/>
    <w:rsid w:val="008A58CB"/>
    <w:rsid w:val="008A62CE"/>
    <w:rsid w:val="008B0A1D"/>
    <w:rsid w:val="008B3779"/>
    <w:rsid w:val="008B759F"/>
    <w:rsid w:val="008C12D0"/>
    <w:rsid w:val="008C3011"/>
    <w:rsid w:val="008C4D8A"/>
    <w:rsid w:val="008E3BB6"/>
    <w:rsid w:val="008E3BD1"/>
    <w:rsid w:val="008F68FA"/>
    <w:rsid w:val="00902159"/>
    <w:rsid w:val="00903857"/>
    <w:rsid w:val="0090499E"/>
    <w:rsid w:val="00941945"/>
    <w:rsid w:val="0094198F"/>
    <w:rsid w:val="00941CF5"/>
    <w:rsid w:val="00951744"/>
    <w:rsid w:val="00954044"/>
    <w:rsid w:val="009545E9"/>
    <w:rsid w:val="009546F6"/>
    <w:rsid w:val="009554FA"/>
    <w:rsid w:val="00955D87"/>
    <w:rsid w:val="00966237"/>
    <w:rsid w:val="0096734F"/>
    <w:rsid w:val="0097060F"/>
    <w:rsid w:val="0097485B"/>
    <w:rsid w:val="009800C9"/>
    <w:rsid w:val="0098652A"/>
    <w:rsid w:val="00990217"/>
    <w:rsid w:val="009A1EE9"/>
    <w:rsid w:val="009A2A04"/>
    <w:rsid w:val="009B796E"/>
    <w:rsid w:val="009B7C01"/>
    <w:rsid w:val="009C21F6"/>
    <w:rsid w:val="009C3054"/>
    <w:rsid w:val="009C49C8"/>
    <w:rsid w:val="009D138D"/>
    <w:rsid w:val="009D57A3"/>
    <w:rsid w:val="009D7D2A"/>
    <w:rsid w:val="009D7EA8"/>
    <w:rsid w:val="009E2C83"/>
    <w:rsid w:val="009E7BE8"/>
    <w:rsid w:val="009F29DD"/>
    <w:rsid w:val="009F51F7"/>
    <w:rsid w:val="009F5BFE"/>
    <w:rsid w:val="009F5E03"/>
    <w:rsid w:val="00A0016A"/>
    <w:rsid w:val="00A00831"/>
    <w:rsid w:val="00A03E89"/>
    <w:rsid w:val="00A04761"/>
    <w:rsid w:val="00A05AEF"/>
    <w:rsid w:val="00A1010B"/>
    <w:rsid w:val="00A13C15"/>
    <w:rsid w:val="00A13FE3"/>
    <w:rsid w:val="00A14F37"/>
    <w:rsid w:val="00A20E89"/>
    <w:rsid w:val="00A21CD0"/>
    <w:rsid w:val="00A241F8"/>
    <w:rsid w:val="00A26D6D"/>
    <w:rsid w:val="00A30960"/>
    <w:rsid w:val="00A335C3"/>
    <w:rsid w:val="00A50796"/>
    <w:rsid w:val="00A54D62"/>
    <w:rsid w:val="00A572EC"/>
    <w:rsid w:val="00A622BA"/>
    <w:rsid w:val="00A62D08"/>
    <w:rsid w:val="00A66810"/>
    <w:rsid w:val="00A669BE"/>
    <w:rsid w:val="00A71CAB"/>
    <w:rsid w:val="00A81E09"/>
    <w:rsid w:val="00AA3409"/>
    <w:rsid w:val="00AA520A"/>
    <w:rsid w:val="00AA6686"/>
    <w:rsid w:val="00AA7A17"/>
    <w:rsid w:val="00AB3779"/>
    <w:rsid w:val="00AB53B2"/>
    <w:rsid w:val="00AC07F0"/>
    <w:rsid w:val="00AC2586"/>
    <w:rsid w:val="00AC41F7"/>
    <w:rsid w:val="00AC444A"/>
    <w:rsid w:val="00AC4C6C"/>
    <w:rsid w:val="00AC5555"/>
    <w:rsid w:val="00AC7734"/>
    <w:rsid w:val="00AD3421"/>
    <w:rsid w:val="00AD38E0"/>
    <w:rsid w:val="00B00363"/>
    <w:rsid w:val="00B022FF"/>
    <w:rsid w:val="00B03E56"/>
    <w:rsid w:val="00B078A5"/>
    <w:rsid w:val="00B17DFC"/>
    <w:rsid w:val="00B2065E"/>
    <w:rsid w:val="00B22750"/>
    <w:rsid w:val="00B25D84"/>
    <w:rsid w:val="00B26949"/>
    <w:rsid w:val="00B27A59"/>
    <w:rsid w:val="00B30BA3"/>
    <w:rsid w:val="00B30C5F"/>
    <w:rsid w:val="00B404E8"/>
    <w:rsid w:val="00B4513D"/>
    <w:rsid w:val="00B45D8D"/>
    <w:rsid w:val="00B46741"/>
    <w:rsid w:val="00B52493"/>
    <w:rsid w:val="00B5642C"/>
    <w:rsid w:val="00B6164C"/>
    <w:rsid w:val="00B66D59"/>
    <w:rsid w:val="00B705BD"/>
    <w:rsid w:val="00B709D8"/>
    <w:rsid w:val="00B71654"/>
    <w:rsid w:val="00B729A3"/>
    <w:rsid w:val="00B74042"/>
    <w:rsid w:val="00B8126D"/>
    <w:rsid w:val="00B83579"/>
    <w:rsid w:val="00B8633C"/>
    <w:rsid w:val="00B91AF9"/>
    <w:rsid w:val="00B9307B"/>
    <w:rsid w:val="00B97D9A"/>
    <w:rsid w:val="00BA1484"/>
    <w:rsid w:val="00BA16CD"/>
    <w:rsid w:val="00BA2D72"/>
    <w:rsid w:val="00BA4826"/>
    <w:rsid w:val="00BA4C8F"/>
    <w:rsid w:val="00BB34A0"/>
    <w:rsid w:val="00BB46A0"/>
    <w:rsid w:val="00BB6718"/>
    <w:rsid w:val="00BB6E65"/>
    <w:rsid w:val="00BD1DF8"/>
    <w:rsid w:val="00BD289F"/>
    <w:rsid w:val="00BE26E4"/>
    <w:rsid w:val="00BE39BC"/>
    <w:rsid w:val="00BE63EB"/>
    <w:rsid w:val="00BE7617"/>
    <w:rsid w:val="00BF00D0"/>
    <w:rsid w:val="00BF0F3C"/>
    <w:rsid w:val="00BF3534"/>
    <w:rsid w:val="00C0625B"/>
    <w:rsid w:val="00C129EC"/>
    <w:rsid w:val="00C147AE"/>
    <w:rsid w:val="00C20356"/>
    <w:rsid w:val="00C228CE"/>
    <w:rsid w:val="00C2302D"/>
    <w:rsid w:val="00C27DAB"/>
    <w:rsid w:val="00C30BDF"/>
    <w:rsid w:val="00C314CC"/>
    <w:rsid w:val="00C315A3"/>
    <w:rsid w:val="00C32A33"/>
    <w:rsid w:val="00C50701"/>
    <w:rsid w:val="00C54B0C"/>
    <w:rsid w:val="00C55DE7"/>
    <w:rsid w:val="00C56162"/>
    <w:rsid w:val="00C63354"/>
    <w:rsid w:val="00C7752B"/>
    <w:rsid w:val="00C80AB8"/>
    <w:rsid w:val="00C85AB0"/>
    <w:rsid w:val="00C87951"/>
    <w:rsid w:val="00C87E15"/>
    <w:rsid w:val="00C94269"/>
    <w:rsid w:val="00C97F2E"/>
    <w:rsid w:val="00CA163B"/>
    <w:rsid w:val="00CA2623"/>
    <w:rsid w:val="00CA37EC"/>
    <w:rsid w:val="00CB08AB"/>
    <w:rsid w:val="00CB0E41"/>
    <w:rsid w:val="00CB3AE8"/>
    <w:rsid w:val="00CB460A"/>
    <w:rsid w:val="00CB67A0"/>
    <w:rsid w:val="00CB6FAD"/>
    <w:rsid w:val="00CC4420"/>
    <w:rsid w:val="00CC4EA2"/>
    <w:rsid w:val="00CD0037"/>
    <w:rsid w:val="00CD039E"/>
    <w:rsid w:val="00CD1A7A"/>
    <w:rsid w:val="00CD3C8A"/>
    <w:rsid w:val="00CD400A"/>
    <w:rsid w:val="00CF093B"/>
    <w:rsid w:val="00CF55A8"/>
    <w:rsid w:val="00D0527C"/>
    <w:rsid w:val="00D061D8"/>
    <w:rsid w:val="00D06857"/>
    <w:rsid w:val="00D23541"/>
    <w:rsid w:val="00D264D6"/>
    <w:rsid w:val="00D30AE8"/>
    <w:rsid w:val="00D37BE7"/>
    <w:rsid w:val="00D660F4"/>
    <w:rsid w:val="00D66E3D"/>
    <w:rsid w:val="00D76900"/>
    <w:rsid w:val="00D845B7"/>
    <w:rsid w:val="00D84C36"/>
    <w:rsid w:val="00D858D7"/>
    <w:rsid w:val="00D86CA5"/>
    <w:rsid w:val="00D93223"/>
    <w:rsid w:val="00D94FB9"/>
    <w:rsid w:val="00DA0E35"/>
    <w:rsid w:val="00DA1E89"/>
    <w:rsid w:val="00DA2D76"/>
    <w:rsid w:val="00DA311D"/>
    <w:rsid w:val="00DA3A31"/>
    <w:rsid w:val="00DB14E8"/>
    <w:rsid w:val="00DB3477"/>
    <w:rsid w:val="00DB5813"/>
    <w:rsid w:val="00DC3DC4"/>
    <w:rsid w:val="00DC518B"/>
    <w:rsid w:val="00DC5C29"/>
    <w:rsid w:val="00DC7C4A"/>
    <w:rsid w:val="00DD1332"/>
    <w:rsid w:val="00DD1730"/>
    <w:rsid w:val="00DD3A56"/>
    <w:rsid w:val="00DD4C0C"/>
    <w:rsid w:val="00DD6BB0"/>
    <w:rsid w:val="00DE4048"/>
    <w:rsid w:val="00DE4A8B"/>
    <w:rsid w:val="00DF538E"/>
    <w:rsid w:val="00DF6BEE"/>
    <w:rsid w:val="00E013E6"/>
    <w:rsid w:val="00E020D8"/>
    <w:rsid w:val="00E10B4B"/>
    <w:rsid w:val="00E15C78"/>
    <w:rsid w:val="00E2331F"/>
    <w:rsid w:val="00E27288"/>
    <w:rsid w:val="00E32592"/>
    <w:rsid w:val="00E341CF"/>
    <w:rsid w:val="00E346BA"/>
    <w:rsid w:val="00E50847"/>
    <w:rsid w:val="00E51DE7"/>
    <w:rsid w:val="00E565F3"/>
    <w:rsid w:val="00E60614"/>
    <w:rsid w:val="00E60F61"/>
    <w:rsid w:val="00E61DDC"/>
    <w:rsid w:val="00E62EB1"/>
    <w:rsid w:val="00E70439"/>
    <w:rsid w:val="00E75373"/>
    <w:rsid w:val="00E8321E"/>
    <w:rsid w:val="00E95744"/>
    <w:rsid w:val="00E9668D"/>
    <w:rsid w:val="00EA0F3B"/>
    <w:rsid w:val="00EA1683"/>
    <w:rsid w:val="00EA1C36"/>
    <w:rsid w:val="00EA49D1"/>
    <w:rsid w:val="00EB13DC"/>
    <w:rsid w:val="00EB2D43"/>
    <w:rsid w:val="00EB6589"/>
    <w:rsid w:val="00EB6F13"/>
    <w:rsid w:val="00EC3F05"/>
    <w:rsid w:val="00EC6044"/>
    <w:rsid w:val="00EC6926"/>
    <w:rsid w:val="00ED5830"/>
    <w:rsid w:val="00ED7DBA"/>
    <w:rsid w:val="00EE1112"/>
    <w:rsid w:val="00EE2374"/>
    <w:rsid w:val="00F0379E"/>
    <w:rsid w:val="00F04276"/>
    <w:rsid w:val="00F112D7"/>
    <w:rsid w:val="00F14B30"/>
    <w:rsid w:val="00F24383"/>
    <w:rsid w:val="00F27552"/>
    <w:rsid w:val="00F30C19"/>
    <w:rsid w:val="00F315EE"/>
    <w:rsid w:val="00F4410C"/>
    <w:rsid w:val="00F45063"/>
    <w:rsid w:val="00F477E1"/>
    <w:rsid w:val="00F516A0"/>
    <w:rsid w:val="00F521F7"/>
    <w:rsid w:val="00F53EAC"/>
    <w:rsid w:val="00F54440"/>
    <w:rsid w:val="00F55330"/>
    <w:rsid w:val="00F61D14"/>
    <w:rsid w:val="00F61F11"/>
    <w:rsid w:val="00F6209F"/>
    <w:rsid w:val="00F62B11"/>
    <w:rsid w:val="00F67ACF"/>
    <w:rsid w:val="00F718F9"/>
    <w:rsid w:val="00F763E8"/>
    <w:rsid w:val="00F81D14"/>
    <w:rsid w:val="00F832D7"/>
    <w:rsid w:val="00F83E8A"/>
    <w:rsid w:val="00F85188"/>
    <w:rsid w:val="00F855CA"/>
    <w:rsid w:val="00F90F99"/>
    <w:rsid w:val="00F972B3"/>
    <w:rsid w:val="00F97D1C"/>
    <w:rsid w:val="00FA16A3"/>
    <w:rsid w:val="00FA4FFC"/>
    <w:rsid w:val="00FB066E"/>
    <w:rsid w:val="00FB4A08"/>
    <w:rsid w:val="00FB59E8"/>
    <w:rsid w:val="00FC6CCD"/>
    <w:rsid w:val="00FD1943"/>
    <w:rsid w:val="00FD251C"/>
    <w:rsid w:val="00FD3BB4"/>
    <w:rsid w:val="00FD719D"/>
    <w:rsid w:val="00FE0318"/>
    <w:rsid w:val="00FE1B06"/>
    <w:rsid w:val="00FE2666"/>
    <w:rsid w:val="00FF3264"/>
    <w:rsid w:val="00FF402A"/>
    <w:rsid w:val="00FF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5B25D66"/>
  <w15:docId w15:val="{A0EC93E3-D569-4A8C-96C2-C0129239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B5"/>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54FB5"/>
    <w:rPr>
      <w:sz w:val="24"/>
    </w:rPr>
  </w:style>
  <w:style w:type="character" w:customStyle="1" w:styleId="BodyTextChar">
    <w:name w:val="Body Text Char"/>
    <w:basedOn w:val="DefaultParagraphFont"/>
    <w:link w:val="BodyText"/>
    <w:rsid w:val="00754FB5"/>
    <w:rPr>
      <w:rFonts w:ascii="Arial" w:eastAsia="Times New Roman" w:hAnsi="Arial" w:cs="Times New Roman"/>
      <w:sz w:val="24"/>
      <w:szCs w:val="20"/>
    </w:rPr>
  </w:style>
  <w:style w:type="paragraph" w:styleId="ListParagraph">
    <w:name w:val="List Paragraph"/>
    <w:basedOn w:val="Normal"/>
    <w:uiPriority w:val="34"/>
    <w:qFormat/>
    <w:rsid w:val="00754FB5"/>
    <w:pPr>
      <w:ind w:left="720"/>
      <w:contextualSpacing/>
    </w:pPr>
  </w:style>
  <w:style w:type="paragraph" w:customStyle="1" w:styleId="Default">
    <w:name w:val="Default"/>
    <w:rsid w:val="00754FB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546F6"/>
    <w:rPr>
      <w:sz w:val="16"/>
      <w:szCs w:val="16"/>
    </w:rPr>
  </w:style>
  <w:style w:type="paragraph" w:styleId="CommentText">
    <w:name w:val="annotation text"/>
    <w:basedOn w:val="Normal"/>
    <w:link w:val="CommentTextChar"/>
    <w:uiPriority w:val="99"/>
    <w:semiHidden/>
    <w:unhideWhenUsed/>
    <w:rsid w:val="009546F6"/>
  </w:style>
  <w:style w:type="character" w:customStyle="1" w:styleId="CommentTextChar">
    <w:name w:val="Comment Text Char"/>
    <w:basedOn w:val="DefaultParagraphFont"/>
    <w:link w:val="CommentText"/>
    <w:uiPriority w:val="99"/>
    <w:semiHidden/>
    <w:rsid w:val="009546F6"/>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9546F6"/>
    <w:rPr>
      <w:b/>
      <w:bCs/>
    </w:rPr>
  </w:style>
  <w:style w:type="character" w:customStyle="1" w:styleId="CommentSubjectChar">
    <w:name w:val="Comment Subject Char"/>
    <w:basedOn w:val="CommentTextChar"/>
    <w:link w:val="CommentSubject"/>
    <w:uiPriority w:val="99"/>
    <w:semiHidden/>
    <w:rsid w:val="009546F6"/>
    <w:rPr>
      <w:rFonts w:ascii="Arial" w:eastAsia="Times New Roman" w:hAnsi="Arial" w:cs="Times New Roman"/>
      <w:b/>
      <w:bCs/>
      <w:noProof/>
      <w:sz w:val="20"/>
      <w:szCs w:val="20"/>
    </w:rPr>
  </w:style>
  <w:style w:type="paragraph" w:styleId="BalloonText">
    <w:name w:val="Balloon Text"/>
    <w:basedOn w:val="Normal"/>
    <w:link w:val="BalloonTextChar"/>
    <w:uiPriority w:val="99"/>
    <w:semiHidden/>
    <w:unhideWhenUsed/>
    <w:rsid w:val="00954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F6"/>
    <w:rPr>
      <w:rFonts w:ascii="Segoe UI" w:eastAsia="Times New Roman" w:hAnsi="Segoe UI" w:cs="Segoe UI"/>
      <w:noProof/>
      <w:sz w:val="18"/>
      <w:szCs w:val="18"/>
    </w:rPr>
  </w:style>
  <w:style w:type="paragraph" w:styleId="Header">
    <w:name w:val="header"/>
    <w:basedOn w:val="Normal"/>
    <w:link w:val="HeaderChar"/>
    <w:uiPriority w:val="99"/>
    <w:unhideWhenUsed/>
    <w:rsid w:val="008214C5"/>
    <w:pPr>
      <w:tabs>
        <w:tab w:val="center" w:pos="4680"/>
        <w:tab w:val="right" w:pos="9360"/>
      </w:tabs>
    </w:pPr>
  </w:style>
  <w:style w:type="character" w:customStyle="1" w:styleId="HeaderChar">
    <w:name w:val="Header Char"/>
    <w:basedOn w:val="DefaultParagraphFont"/>
    <w:link w:val="Header"/>
    <w:uiPriority w:val="99"/>
    <w:rsid w:val="008214C5"/>
    <w:rPr>
      <w:rFonts w:ascii="Arial" w:eastAsia="Times New Roman" w:hAnsi="Arial" w:cs="Times New Roman"/>
      <w:noProof/>
      <w:sz w:val="20"/>
      <w:szCs w:val="20"/>
    </w:rPr>
  </w:style>
  <w:style w:type="paragraph" w:styleId="Footer">
    <w:name w:val="footer"/>
    <w:basedOn w:val="Normal"/>
    <w:link w:val="FooterChar"/>
    <w:uiPriority w:val="99"/>
    <w:unhideWhenUsed/>
    <w:rsid w:val="008214C5"/>
    <w:pPr>
      <w:tabs>
        <w:tab w:val="center" w:pos="4680"/>
        <w:tab w:val="right" w:pos="9360"/>
      </w:tabs>
    </w:pPr>
  </w:style>
  <w:style w:type="character" w:customStyle="1" w:styleId="FooterChar">
    <w:name w:val="Footer Char"/>
    <w:basedOn w:val="DefaultParagraphFont"/>
    <w:link w:val="Footer"/>
    <w:uiPriority w:val="99"/>
    <w:rsid w:val="008214C5"/>
    <w:rPr>
      <w:rFonts w:ascii="Arial" w:eastAsia="Times New Roman" w:hAnsi="Arial" w:cs="Times New Roman"/>
      <w:noProof/>
      <w:sz w:val="20"/>
      <w:szCs w:val="20"/>
    </w:rPr>
  </w:style>
  <w:style w:type="paragraph" w:styleId="Revision">
    <w:name w:val="Revision"/>
    <w:hidden/>
    <w:uiPriority w:val="99"/>
    <w:semiHidden/>
    <w:rsid w:val="008214C5"/>
    <w:pPr>
      <w:spacing w:after="0" w:line="240" w:lineRule="auto"/>
    </w:pPr>
    <w:rPr>
      <w:rFonts w:ascii="Arial" w:eastAsia="Times New Roman" w:hAnsi="Arial" w:cs="Times New Roman"/>
      <w:noProof/>
      <w:sz w:val="20"/>
      <w:szCs w:val="20"/>
    </w:rPr>
  </w:style>
  <w:style w:type="character" w:styleId="Hyperlink">
    <w:name w:val="Hyperlink"/>
    <w:basedOn w:val="DefaultParagraphFont"/>
    <w:uiPriority w:val="99"/>
    <w:unhideWhenUsed/>
    <w:rsid w:val="00746BE4"/>
    <w:rPr>
      <w:color w:val="0563C1" w:themeColor="hyperlink"/>
      <w:u w:val="single"/>
    </w:rPr>
  </w:style>
  <w:style w:type="character" w:styleId="FollowedHyperlink">
    <w:name w:val="FollowedHyperlink"/>
    <w:basedOn w:val="DefaultParagraphFont"/>
    <w:uiPriority w:val="99"/>
    <w:semiHidden/>
    <w:unhideWhenUsed/>
    <w:rsid w:val="00746BE4"/>
    <w:rPr>
      <w:color w:val="954F72" w:themeColor="followedHyperlink"/>
      <w:u w:val="single"/>
    </w:rPr>
  </w:style>
  <w:style w:type="character" w:styleId="HTMLCite">
    <w:name w:val="HTML Cite"/>
    <w:basedOn w:val="DefaultParagraphFont"/>
    <w:uiPriority w:val="99"/>
    <w:semiHidden/>
    <w:unhideWhenUsed/>
    <w:rsid w:val="00CD1A7A"/>
    <w:rPr>
      <w:i w:val="0"/>
      <w:iCs w:val="0"/>
      <w:color w:val="009030"/>
    </w:rPr>
  </w:style>
  <w:style w:type="character" w:styleId="UnresolvedMention">
    <w:name w:val="Unresolved Mention"/>
    <w:basedOn w:val="DefaultParagraphFont"/>
    <w:uiPriority w:val="99"/>
    <w:semiHidden/>
    <w:unhideWhenUsed/>
    <w:rsid w:val="00182949"/>
    <w:rPr>
      <w:color w:val="808080"/>
      <w:shd w:val="clear" w:color="auto" w:fill="E6E6E6"/>
    </w:rPr>
  </w:style>
  <w:style w:type="paragraph" w:styleId="NoSpacing">
    <w:name w:val="No Spacing"/>
    <w:uiPriority w:val="1"/>
    <w:qFormat/>
    <w:rsid w:val="00182949"/>
    <w:pPr>
      <w:spacing w:after="0" w:line="240" w:lineRule="auto"/>
    </w:pPr>
  </w:style>
  <w:style w:type="table" w:styleId="TableGrid">
    <w:name w:val="Table Grid"/>
    <w:basedOn w:val="TableNormal"/>
    <w:uiPriority w:val="59"/>
    <w:rsid w:val="0054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yxo">
    <w:name w:val="_4yxo"/>
    <w:basedOn w:val="DefaultParagraphFont"/>
    <w:rsid w:val="00CF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4683">
      <w:bodyDiv w:val="1"/>
      <w:marLeft w:val="0"/>
      <w:marRight w:val="0"/>
      <w:marTop w:val="0"/>
      <w:marBottom w:val="0"/>
      <w:divBdr>
        <w:top w:val="none" w:sz="0" w:space="0" w:color="auto"/>
        <w:left w:val="none" w:sz="0" w:space="0" w:color="auto"/>
        <w:bottom w:val="none" w:sz="0" w:space="0" w:color="auto"/>
        <w:right w:val="none" w:sz="0" w:space="0" w:color="auto"/>
      </w:divBdr>
    </w:div>
    <w:div w:id="1307276688">
      <w:bodyDiv w:val="1"/>
      <w:marLeft w:val="0"/>
      <w:marRight w:val="0"/>
      <w:marTop w:val="0"/>
      <w:marBottom w:val="0"/>
      <w:divBdr>
        <w:top w:val="none" w:sz="0" w:space="0" w:color="auto"/>
        <w:left w:val="none" w:sz="0" w:space="0" w:color="auto"/>
        <w:bottom w:val="none" w:sz="0" w:space="0" w:color="auto"/>
        <w:right w:val="none" w:sz="0" w:space="0" w:color="auto"/>
      </w:divBdr>
    </w:div>
    <w:div w:id="19946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node=pt20.3.618&amp;amp;rgn=div5&amp;amp;se20.3.618_132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dr.doleta.gov/directives/corr_doc.cfm?docn=6175" TargetMode="External"/><Relationship Id="rId4" Type="http://schemas.openxmlformats.org/officeDocument/2006/relationships/settings" Target="settings.xml"/><Relationship Id="rId9" Type="http://schemas.openxmlformats.org/officeDocument/2006/relationships/hyperlink" Target="https://wdr.doleta.gov/directives/corr_doc.cfm?DOCN=627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02B1-19B5-47C6-AFB5-E4543360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Garcia</dc:creator>
  <cp:lastModifiedBy>Jessie Cardwell</cp:lastModifiedBy>
  <cp:revision>2</cp:revision>
  <cp:lastPrinted>2021-07-08T15:34:00Z</cp:lastPrinted>
  <dcterms:created xsi:type="dcterms:W3CDTF">2023-07-10T14:37:00Z</dcterms:created>
  <dcterms:modified xsi:type="dcterms:W3CDTF">2023-07-10T14:37:00Z</dcterms:modified>
</cp:coreProperties>
</file>